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Hans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Hans"/>
        </w:rPr>
        <w:t>杭州科技职业技术学院202</w:t>
      </w:r>
      <w:r>
        <w:rPr>
          <w:rFonts w:ascii="方正小标宋简体" w:hAnsi="方正小标宋简体" w:eastAsia="方正小标宋简体" w:cs="方正小标宋简体"/>
          <w:sz w:val="32"/>
          <w:szCs w:val="32"/>
          <w:lang w:eastAsia="zh-Hans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Hans"/>
        </w:rPr>
        <w:t>年成人高等教育招生章程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宋体" w:hAnsi="宋体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第一章  总则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第一条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 </w:t>
      </w: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为进一步做好202</w:t>
      </w:r>
      <w:r>
        <w:rPr>
          <w:rFonts w:ascii="仿宋" w:hAnsi="仿宋" w:eastAsia="仿宋" w:cs="仿宋"/>
          <w:color w:val="444444"/>
          <w:sz w:val="28"/>
          <w:szCs w:val="19"/>
          <w:lang w:eastAsia="zh-Hans"/>
        </w:rPr>
        <w:t>2</w:t>
      </w: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年成人高等教育招生工作，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根据教育部、浙江省教育厅与浙江省教育考试院有关政策和规定，结合我</w:t>
      </w:r>
      <w:r>
        <w:rPr>
          <w:rFonts w:hint="eastAsia" w:ascii="仿宋" w:hAnsi="仿宋" w:eastAsia="仿宋" w:cs="仿宋"/>
          <w:sz w:val="28"/>
          <w:szCs w:val="19"/>
        </w:rPr>
        <w:t>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实际，制定本章程。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第二条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 </w:t>
      </w: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学校全称和校址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  <w:lang w:eastAsia="zh-Hans"/>
        </w:rPr>
      </w:pP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学校全称：杭州科技职业技术学院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  <w:lang w:eastAsia="zh-Hans"/>
        </w:rPr>
      </w:pP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学校设有杭州城区、富阳高桥、建德严州、钱塘大江东等四个校区。法定注册地为浙江省杭州市西湖区文一西路37号。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第三条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 xml:space="preserve"> </w:t>
      </w:r>
      <w:r>
        <w:rPr>
          <w:rFonts w:hint="eastAsia" w:ascii="仿宋" w:hAnsi="仿宋" w:eastAsia="仿宋" w:cs="仿宋"/>
          <w:color w:val="444444"/>
          <w:sz w:val="28"/>
          <w:szCs w:val="19"/>
          <w:lang w:val="en-US" w:eastAsia="zh-Hans"/>
        </w:rPr>
        <w:t>办学类型和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院校代码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color w:val="444444"/>
          <w:sz w:val="28"/>
          <w:szCs w:val="19"/>
        </w:rPr>
      </w:pPr>
      <w:r>
        <w:rPr>
          <w:rFonts w:hint="eastAsia" w:ascii="仿宋" w:hAnsi="仿宋" w:eastAsia="仿宋"/>
          <w:color w:val="444444"/>
          <w:sz w:val="28"/>
          <w:szCs w:val="19"/>
        </w:rPr>
        <w:t>办学类型：公办高等职业技术学院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学校全国院校代码：13026；省院校代码：403。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第四条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 xml:space="preserve"> </w:t>
      </w:r>
      <w:r>
        <w:rPr>
          <w:rFonts w:hint="eastAsia" w:ascii="仿宋" w:hAnsi="仿宋" w:eastAsia="仿宋" w:cs="仿宋"/>
          <w:color w:val="444444"/>
          <w:sz w:val="28"/>
          <w:szCs w:val="19"/>
          <w:lang w:val="en-US" w:eastAsia="zh-Hans"/>
        </w:rPr>
        <w:t>学历继续教育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>办学层次</w:t>
      </w: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、</w:t>
      </w:r>
      <w:r>
        <w:rPr>
          <w:rFonts w:hint="eastAsia" w:ascii="仿宋" w:hAnsi="仿宋" w:eastAsia="仿宋" w:cs="仿宋"/>
          <w:color w:val="444444"/>
          <w:sz w:val="28"/>
          <w:szCs w:val="19"/>
          <w:lang w:val="en-US" w:eastAsia="zh-Hans"/>
        </w:rPr>
        <w:t>学习形式</w:t>
      </w:r>
      <w:bookmarkStart w:id="0" w:name="_GoBack"/>
      <w:bookmarkEnd w:id="0"/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办学层次：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高中起点专科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（高职）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</w:pP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各专业学习习形式见本章程第九条。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第五条</w:t>
      </w:r>
      <w:r>
        <w:rPr>
          <w:rFonts w:hint="eastAsia" w:ascii="仿宋" w:hAnsi="仿宋" w:eastAsia="仿宋" w:cs="仿宋"/>
          <w:color w:val="444444"/>
          <w:sz w:val="28"/>
          <w:szCs w:val="19"/>
        </w:rPr>
        <w:t xml:space="preserve"> 录取通知书由院长签发</w:t>
      </w:r>
      <w:r>
        <w:rPr>
          <w:rFonts w:hint="eastAsia" w:ascii="仿宋" w:hAnsi="仿宋" w:eastAsia="仿宋" w:cs="仿宋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sz w:val="32"/>
          <w:szCs w:val="23"/>
        </w:rPr>
      </w:pPr>
      <w:r>
        <w:rPr>
          <w:rStyle w:val="6"/>
          <w:rFonts w:hint="eastAsia" w:ascii="黑体" w:hAnsi="黑体" w:eastAsia="黑体" w:cs="黑体"/>
          <w:sz w:val="32"/>
          <w:szCs w:val="23"/>
        </w:rPr>
        <w:t>第二章  组织机构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第六条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 xml:space="preserve">  成立由学校领导和有关部门负责人组成的招生工作领导小组，负责研究制订学校有关招生工作的政策和规定。招生录取中的重大问题由校长办公会讨论决定。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第七条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 xml:space="preserve">  继续教育学院是学校具体负责成人高等教育招生工作的常设机构，负责招生录取的日常事务。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第八条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 xml:space="preserve">  学校成立以纪委办负责人为组长的招生工作监察小组，负责监督招生录取的各项政策和规定的落实，监督招生录取全过程，并设立招生监督电话，接受新闻媒体、考生、家长以及社会各界的监督。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第三章  招生专业与学习形式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第九条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2022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年招生专业和学习形式如下。</w:t>
      </w:r>
    </w:p>
    <w:tbl>
      <w:tblPr>
        <w:tblStyle w:val="8"/>
        <w:tblpPr w:leftFromText="180" w:rightFromText="180" w:vertAnchor="text" w:horzAnchor="page" w:tblpXSpec="center" w:tblpY="373"/>
        <w:tblOverlap w:val="never"/>
        <w:tblW w:w="96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979"/>
        <w:gridCol w:w="1424"/>
        <w:gridCol w:w="2000"/>
        <w:gridCol w:w="1861"/>
      </w:tblGrid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  <w:t>层次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成人高考科类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修业年限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建筑装饰工程技术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市政工程技术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机械制造及自动化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模具设计与制造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汽车制造与试验技术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大数据技术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大数据与会计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理工类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连锁经营与管理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旅行社经营与管理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酒店管理与数字化运营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室内艺术设计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艺术类（文）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  <w:tr>
        <w:trPr>
          <w:trHeight w:val="624" w:hRule="atLeast"/>
          <w:jc w:val="center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专科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函授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文史类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年至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年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第四章  录取原则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按教育部要求，实行“学校负责、省教育考试院监督”的录取体制，积极组织实施高校招生“阳光工程”。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  <w:lang w:eastAsia="zh-Hans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第十一条</w:t>
      </w:r>
      <w:r>
        <w:rPr>
          <w:rFonts w:ascii="仿宋" w:hAnsi="仿宋" w:eastAsia="仿宋"/>
          <w:color w:val="444444"/>
          <w:sz w:val="28"/>
          <w:szCs w:val="19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遵循“公平竞争、公正选拔、公开透明、综合评价、择优录取”的原则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，</w:t>
      </w:r>
      <w:r>
        <w:rPr>
          <w:rFonts w:hint="eastAsia" w:ascii="仿宋" w:hAnsi="仿宋" w:eastAsia="仿宋"/>
          <w:color w:val="444444"/>
          <w:sz w:val="28"/>
          <w:szCs w:val="19"/>
        </w:rPr>
        <w:t>依照浙江省教育考试院所确定的最低录取控制分数线，按考生志愿和招生计划，分专业从高分到低分择优录取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第十二条</w:t>
      </w:r>
      <w:r>
        <w:rPr>
          <w:rFonts w:ascii="仿宋" w:hAnsi="仿宋" w:eastAsia="仿宋"/>
          <w:color w:val="444444"/>
          <w:sz w:val="28"/>
          <w:szCs w:val="19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艺术（文）类学生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需参加学校组织的艺术类加试，</w:t>
      </w:r>
      <w:r>
        <w:rPr>
          <w:rFonts w:hint="eastAsia" w:ascii="仿宋" w:hAnsi="仿宋" w:eastAsia="仿宋"/>
          <w:color w:val="444444"/>
          <w:sz w:val="28"/>
          <w:szCs w:val="19"/>
        </w:rPr>
        <w:t>语文、英语两门课总分达到全省成人高校录取最低控制分数线，按总分从高分到低分择优录取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，</w:t>
      </w:r>
      <w:r>
        <w:rPr>
          <w:rFonts w:hint="eastAsia" w:ascii="仿宋" w:hAnsi="仿宋" w:eastAsia="仿宋"/>
          <w:color w:val="444444"/>
          <w:sz w:val="28"/>
          <w:szCs w:val="19"/>
        </w:rPr>
        <w:t>两门课总分相同的，按艺术类加试成绩，从高分到低分择优录取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，</w:t>
      </w:r>
      <w:r>
        <w:rPr>
          <w:rFonts w:hint="eastAsia" w:ascii="仿宋" w:hAnsi="仿宋" w:eastAsia="仿宋"/>
          <w:color w:val="444444"/>
          <w:sz w:val="28"/>
          <w:szCs w:val="19"/>
        </w:rPr>
        <w:t>无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学校认可的</w:t>
      </w:r>
      <w:r>
        <w:rPr>
          <w:rFonts w:hint="eastAsia" w:ascii="仿宋" w:hAnsi="仿宋" w:eastAsia="仿宋"/>
          <w:color w:val="444444"/>
          <w:sz w:val="28"/>
          <w:szCs w:val="19"/>
        </w:rPr>
        <w:t>艺术类加试成绩者不予录取。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第十三条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加分政策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按照</w:t>
      </w:r>
      <w:r>
        <w:rPr>
          <w:rFonts w:hint="eastAsia" w:ascii="仿宋" w:hAnsi="仿宋" w:eastAsia="仿宋"/>
          <w:color w:val="444444"/>
          <w:sz w:val="28"/>
          <w:szCs w:val="19"/>
        </w:rPr>
        <w:t>《浙江省成人高校招生工作实施意见》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执行</w:t>
      </w:r>
      <w:r>
        <w:rPr>
          <w:rFonts w:hint="eastAsia" w:ascii="仿宋" w:hAnsi="仿宋" w:eastAsia="仿宋"/>
          <w:color w:val="444444"/>
          <w:sz w:val="28"/>
          <w:szCs w:val="19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第十四条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在招生计划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允许</w:t>
      </w:r>
      <w:r>
        <w:rPr>
          <w:rFonts w:hint="eastAsia" w:ascii="仿宋" w:hAnsi="仿宋" w:eastAsia="仿宋"/>
          <w:color w:val="444444"/>
          <w:sz w:val="28"/>
          <w:szCs w:val="19"/>
        </w:rPr>
        <w:t>的情况下，各专业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实际</w:t>
      </w:r>
      <w:r>
        <w:rPr>
          <w:rFonts w:hint="eastAsia" w:ascii="仿宋" w:hAnsi="仿宋" w:eastAsia="仿宋"/>
          <w:color w:val="444444"/>
          <w:sz w:val="28"/>
          <w:szCs w:val="19"/>
        </w:rPr>
        <w:t>招生人数可视成人高考上分数线人数和学校办学资源而定。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第十五条</w:t>
      </w:r>
      <w:r>
        <w:rPr>
          <w:rFonts w:hint="default"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专业招生</w:t>
      </w:r>
      <w:r>
        <w:rPr>
          <w:rFonts w:hint="default" w:ascii="仿宋" w:hAnsi="仿宋" w:eastAsia="仿宋"/>
          <w:color w:val="444444"/>
          <w:sz w:val="28"/>
          <w:szCs w:val="19"/>
          <w:lang w:eastAsia="zh-Hans"/>
        </w:rPr>
        <w:t>人数不足20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人</w:t>
      </w:r>
      <w:r>
        <w:rPr>
          <w:rFonts w:hint="default" w:ascii="仿宋" w:hAnsi="仿宋" w:eastAsia="仿宋"/>
          <w:color w:val="444444"/>
          <w:sz w:val="28"/>
          <w:szCs w:val="19"/>
          <w:lang w:eastAsia="zh-Hans"/>
        </w:rPr>
        <w:t>不能开班，其上线考生在征求考生本人意见后转至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相近专业学习</w:t>
      </w:r>
      <w:r>
        <w:rPr>
          <w:rFonts w:hint="default" w:ascii="仿宋" w:hAnsi="仿宋" w:eastAsia="仿宋"/>
          <w:color w:val="444444"/>
          <w:sz w:val="28"/>
          <w:szCs w:val="19"/>
          <w:lang w:eastAsia="zh-Hans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 xml:space="preserve">第五章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  <w:lang w:eastAsia="zh-Hans"/>
        </w:rPr>
        <w:t>入学、毕业和学费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六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新生入学注册后，学校依据《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杭州科技职业技术学院</w:t>
      </w:r>
      <w:r>
        <w:rPr>
          <w:rFonts w:hint="eastAsia" w:ascii="仿宋" w:hAnsi="仿宋" w:eastAsia="仿宋"/>
          <w:color w:val="444444"/>
          <w:sz w:val="28"/>
          <w:szCs w:val="19"/>
        </w:rPr>
        <w:t>学籍管理规定》进行管理，按专业人才培养方案和教学计划对学生进行培养</w:t>
      </w:r>
      <w:r>
        <w:rPr>
          <w:rFonts w:ascii="仿宋" w:hAnsi="仿宋" w:eastAsia="仿宋"/>
          <w:color w:val="444444"/>
          <w:sz w:val="28"/>
          <w:szCs w:val="19"/>
        </w:rPr>
        <w:t>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七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hint="default" w:ascii="黑体" w:hAnsi="黑体" w:eastAsia="黑体" w:cs="黑体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被录取的新生，必须按录取通知书的规定，必须按期到学校本部或各教学站点办理入学手续，逾期不报到又无正当理由者，则取消其入学资格。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八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hint="eastAsia" w:ascii="黑体" w:hAnsi="黑体" w:eastAsia="黑体" w:cs="黑体"/>
          <w:color w:val="444444"/>
          <w:sz w:val="28"/>
          <w:szCs w:val="19"/>
        </w:rPr>
        <w:t xml:space="preserve"> </w:t>
      </w:r>
      <w:r>
        <w:rPr>
          <w:rFonts w:ascii="仿宋" w:hAnsi="仿宋" w:eastAsia="仿宋"/>
          <w:color w:val="444444"/>
          <w:sz w:val="28"/>
          <w:szCs w:val="19"/>
        </w:rPr>
        <w:t>录取到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本校</w:t>
      </w:r>
      <w:r>
        <w:rPr>
          <w:rFonts w:ascii="仿宋" w:hAnsi="仿宋" w:eastAsia="仿宋"/>
          <w:color w:val="444444"/>
          <w:sz w:val="28"/>
          <w:szCs w:val="19"/>
        </w:rPr>
        <w:t>的学生，修完教学计划规定的科目，成绩合格，达到最低毕业年限，符合毕业条件，由杭州科技职业技术学院颁发经教育部电子注册的成人高等教育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专科</w:t>
      </w:r>
      <w:r>
        <w:rPr>
          <w:rFonts w:ascii="仿宋" w:hAnsi="仿宋" w:eastAsia="仿宋"/>
          <w:color w:val="444444"/>
          <w:sz w:val="28"/>
          <w:szCs w:val="19"/>
        </w:rPr>
        <w:t>毕业证书。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第十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九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学费严格按照《浙江省物价局 浙江省财政厅 浙江省教育厅关于调整成人高等教育收费标准的通知》（浙价费</w:t>
      </w:r>
      <w:r>
        <w:rPr>
          <w:rFonts w:ascii="仿宋" w:hAnsi="仿宋" w:eastAsia="仿宋"/>
          <w:color w:val="444444"/>
          <w:sz w:val="28"/>
          <w:szCs w:val="19"/>
        </w:rPr>
        <w:t>[</w:t>
      </w:r>
      <w:r>
        <w:rPr>
          <w:rFonts w:hint="eastAsia" w:ascii="仿宋" w:hAnsi="仿宋" w:eastAsia="仿宋"/>
          <w:color w:val="444444"/>
          <w:sz w:val="28"/>
          <w:szCs w:val="19"/>
        </w:rPr>
        <w:t>2014</w:t>
      </w:r>
      <w:r>
        <w:rPr>
          <w:rFonts w:ascii="仿宋" w:hAnsi="仿宋" w:eastAsia="仿宋"/>
          <w:color w:val="444444"/>
          <w:sz w:val="28"/>
          <w:szCs w:val="19"/>
        </w:rPr>
        <w:t>]</w:t>
      </w:r>
      <w:r>
        <w:rPr>
          <w:rFonts w:hint="eastAsia" w:ascii="仿宋" w:hAnsi="仿宋" w:eastAsia="仿宋"/>
          <w:color w:val="444444"/>
          <w:sz w:val="28"/>
          <w:szCs w:val="19"/>
        </w:rPr>
        <w:t>245号）的规定和要求执行。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第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  <w:lang w:eastAsia="zh-Hans"/>
        </w:rPr>
        <w:t>六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章  招生咨询及录取查询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二十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招生咨询联系方式：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联系地址：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杭州市西湖区毛家桥路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>26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号</w:t>
      </w:r>
      <w:r>
        <w:rPr>
          <w:rFonts w:hint="eastAsia" w:ascii="仿宋" w:hAnsi="仿宋" w:eastAsia="仿宋"/>
          <w:color w:val="444444"/>
          <w:sz w:val="28"/>
          <w:szCs w:val="19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邮    编：</w:t>
      </w:r>
      <w:r>
        <w:rPr>
          <w:rFonts w:hint="eastAsia" w:ascii="仿宋" w:hAnsi="仿宋" w:eastAsia="仿宋"/>
          <w:color w:val="444444"/>
          <w:sz w:val="28"/>
          <w:szCs w:val="19"/>
        </w:rPr>
        <w:t>3</w:t>
      </w:r>
      <w:r>
        <w:rPr>
          <w:rFonts w:ascii="仿宋" w:hAnsi="仿宋" w:eastAsia="仿宋"/>
          <w:color w:val="444444"/>
          <w:sz w:val="28"/>
          <w:szCs w:val="19"/>
        </w:rPr>
        <w:t>10012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联系电话：</w:t>
      </w:r>
      <w:r>
        <w:rPr>
          <w:rFonts w:hint="eastAsia" w:ascii="仿宋" w:hAnsi="仿宋" w:eastAsia="仿宋"/>
          <w:color w:val="444444"/>
          <w:sz w:val="28"/>
          <w:szCs w:val="19"/>
        </w:rPr>
        <w:t>057</w:t>
      </w:r>
      <w:r>
        <w:rPr>
          <w:rFonts w:ascii="仿宋" w:hAnsi="仿宋" w:eastAsia="仿宋"/>
          <w:color w:val="444444"/>
          <w:sz w:val="28"/>
          <w:szCs w:val="19"/>
        </w:rPr>
        <w:t>1-28288010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</w:rPr>
        <w:t>学校网址：</w:t>
      </w:r>
      <w:r>
        <w:rPr>
          <w:rFonts w:hint="eastAsia" w:ascii="仿宋" w:hAnsi="仿宋" w:eastAsia="仿宋"/>
          <w:color w:val="444444"/>
          <w:sz w:val="28"/>
          <w:szCs w:val="19"/>
        </w:rPr>
        <w:t>http://www.</w:t>
      </w:r>
      <w:r>
        <w:rPr>
          <w:rFonts w:ascii="仿宋" w:hAnsi="仿宋" w:eastAsia="仿宋"/>
          <w:color w:val="444444"/>
          <w:sz w:val="28"/>
          <w:szCs w:val="19"/>
        </w:rPr>
        <w:t>hzpt.edu.cn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，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>http://www.hzrtvu.edu.cn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第二十</w:t>
      </w:r>
      <w:r>
        <w:rPr>
          <w:rFonts w:hint="eastAsia" w:ascii="黑体" w:hAnsi="黑体" w:eastAsia="黑体" w:cs="黑体"/>
          <w:color w:val="444444"/>
          <w:sz w:val="28"/>
          <w:szCs w:val="19"/>
          <w:lang w:val="en-US" w:eastAsia="zh-Hans"/>
        </w:rPr>
        <w:t>一</w:t>
      </w: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我校招生录取接受社会和广大考生的监督，考生和家长可以通过信函或电话向我校纪委办反映情况或投诉。投诉电话：0571-28287064。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6"/>
          <w:rFonts w:ascii="黑体" w:hAnsi="黑体" w:eastAsia="黑体" w:cs="黑体"/>
          <w:b w:val="0"/>
          <w:bCs w:val="0"/>
          <w:sz w:val="32"/>
          <w:szCs w:val="23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第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  <w:lang w:eastAsia="zh-Hans"/>
        </w:rPr>
        <w:t>七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23"/>
        </w:rPr>
        <w:t>章  附则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444444"/>
          <w:sz w:val="28"/>
          <w:szCs w:val="19"/>
        </w:rPr>
      </w:pPr>
      <w:r>
        <w:rPr>
          <w:rFonts w:hint="eastAsia" w:ascii="黑体" w:hAnsi="黑体" w:eastAsia="黑体" w:cs="黑体"/>
          <w:color w:val="444444"/>
          <w:sz w:val="28"/>
          <w:szCs w:val="19"/>
          <w:lang w:eastAsia="zh-Hans"/>
        </w:rPr>
        <w:t>第二十一条</w:t>
      </w:r>
      <w:r>
        <w:rPr>
          <w:rFonts w:ascii="仿宋" w:hAnsi="仿宋" w:eastAsia="仿宋"/>
          <w:color w:val="444444"/>
          <w:sz w:val="28"/>
          <w:szCs w:val="19"/>
          <w:lang w:eastAsia="zh-Hans"/>
        </w:rPr>
        <w:t xml:space="preserve"> </w:t>
      </w:r>
      <w:r>
        <w:rPr>
          <w:rFonts w:hint="eastAsia" w:ascii="仿宋" w:hAnsi="仿宋" w:eastAsia="仿宋"/>
          <w:color w:val="444444"/>
          <w:sz w:val="28"/>
          <w:szCs w:val="19"/>
        </w:rPr>
        <w:t>本章程由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我校</w:t>
      </w:r>
      <w:r>
        <w:rPr>
          <w:rFonts w:hint="eastAsia" w:ascii="仿宋" w:hAnsi="仿宋" w:eastAsia="仿宋"/>
          <w:color w:val="444444"/>
          <w:sz w:val="28"/>
          <w:szCs w:val="19"/>
        </w:rPr>
        <w:t>继续教育</w:t>
      </w:r>
      <w:r>
        <w:rPr>
          <w:rFonts w:hint="eastAsia" w:ascii="仿宋" w:hAnsi="仿宋" w:eastAsia="仿宋"/>
          <w:color w:val="444444"/>
          <w:sz w:val="28"/>
          <w:szCs w:val="19"/>
          <w:lang w:eastAsia="zh-Hans"/>
        </w:rPr>
        <w:t>管理</w:t>
      </w:r>
      <w:r>
        <w:rPr>
          <w:rFonts w:hint="eastAsia" w:ascii="仿宋" w:hAnsi="仿宋" w:eastAsia="仿宋"/>
          <w:color w:val="444444"/>
          <w:sz w:val="28"/>
          <w:szCs w:val="19"/>
          <w:lang w:val="en-US" w:eastAsia="zh-Hans"/>
        </w:rPr>
        <w:t>部门</w:t>
      </w:r>
      <w:r>
        <w:rPr>
          <w:rFonts w:hint="eastAsia" w:ascii="仿宋" w:hAnsi="仿宋" w:eastAsia="仿宋"/>
          <w:color w:val="444444"/>
          <w:sz w:val="28"/>
          <w:szCs w:val="19"/>
        </w:rPr>
        <w:t>负责解释。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35DBF"/>
    <w:rsid w:val="00026EA6"/>
    <w:rsid w:val="00113158"/>
    <w:rsid w:val="00170F0C"/>
    <w:rsid w:val="001C7A0D"/>
    <w:rsid w:val="00244DFB"/>
    <w:rsid w:val="003054B5"/>
    <w:rsid w:val="005155B0"/>
    <w:rsid w:val="00570F2F"/>
    <w:rsid w:val="0077770C"/>
    <w:rsid w:val="008B17EA"/>
    <w:rsid w:val="19FFB290"/>
    <w:rsid w:val="1F9D0532"/>
    <w:rsid w:val="36D115D0"/>
    <w:rsid w:val="579F5845"/>
    <w:rsid w:val="5A7DEA6A"/>
    <w:rsid w:val="5F97E628"/>
    <w:rsid w:val="66FFD7E9"/>
    <w:rsid w:val="6E7E9C48"/>
    <w:rsid w:val="6FEDE0CA"/>
    <w:rsid w:val="73AF0AE1"/>
    <w:rsid w:val="76AFB780"/>
    <w:rsid w:val="7AEF3A04"/>
    <w:rsid w:val="7BBFC545"/>
    <w:rsid w:val="7EFFE669"/>
    <w:rsid w:val="7F67E22A"/>
    <w:rsid w:val="8FFF8FE3"/>
    <w:rsid w:val="90AEEF60"/>
    <w:rsid w:val="DBBEF37A"/>
    <w:rsid w:val="DFDE5D2B"/>
    <w:rsid w:val="EFCDB50D"/>
    <w:rsid w:val="F3BE13A5"/>
    <w:rsid w:val="F3D24AB9"/>
    <w:rsid w:val="F79DC45A"/>
    <w:rsid w:val="FAFF0738"/>
    <w:rsid w:val="FDD35DBF"/>
    <w:rsid w:val="FDEE03F7"/>
    <w:rsid w:val="FE693426"/>
    <w:rsid w:val="FEBE7E0C"/>
    <w:rsid w:val="FF3FC735"/>
    <w:rsid w:val="FFEF6DE8"/>
    <w:rsid w:val="FFFDF2AA"/>
    <w:rsid w:val="FF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rFonts w:ascii="Calibri" w:hAnsi="Calibri" w:eastAsia="宋体" w:cs="Arial"/>
      <w:b/>
      <w:bCs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1629</Characters>
  <Lines>13</Lines>
  <Paragraphs>3</Paragraphs>
  <ScaleCrop>false</ScaleCrop>
  <LinksUpToDate>false</LinksUpToDate>
  <CharactersWithSpaces>1911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2021-09-18T21:23:00Z</dcterms:created>
  <dc:creator>maodanqing</dc:creator>
  <cp:lastModifiedBy>maodanqing</cp:lastModifiedBy>
  <dcterms:modified xsi:type="dcterms:W3CDTF">2022-09-21T09:18:04Z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