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wordWrap w:val="0"/>
        <w:spacing w:before="0" w:beforeAutospacing="0" w:after="0" w:afterAutospacing="0" w:line="315" w:lineRule="atLeast"/>
        <w:jc w:val="center"/>
        <w:textAlignment w:val="baseline"/>
        <w:rPr>
          <w:rStyle w:val="5"/>
          <w:rFonts w:ascii="仿宋" w:hAnsi="仿宋" w:eastAsia="仿宋" w:cs="Helvetica"/>
          <w:color w:val="000000"/>
          <w:sz w:val="29"/>
          <w:szCs w:val="29"/>
        </w:rPr>
      </w:pPr>
      <w:r>
        <w:rPr>
          <w:rStyle w:val="5"/>
          <w:rFonts w:hint="eastAsia" w:ascii="方正公文小标宋" w:hAnsi="方正公文小标宋" w:eastAsia="方正公文小标宋" w:cs="方正公文小标宋"/>
          <w:b w:val="0"/>
          <w:bCs w:val="0"/>
          <w:color w:val="000000"/>
          <w:sz w:val="36"/>
          <w:szCs w:val="36"/>
        </w:rPr>
        <w:t>浙江理工大学科技与艺术学院2022年退役大学生士兵免试专升本招生章程</w:t>
      </w:r>
    </w:p>
    <w:p>
      <w:pPr>
        <w:pStyle w:val="2"/>
        <w:shd w:val="clear" w:color="auto" w:fill="FFFFFF"/>
        <w:wordWrap w:val="0"/>
        <w:spacing w:before="0" w:beforeAutospacing="0" w:after="0" w:afterAutospacing="0" w:line="315" w:lineRule="atLeast"/>
        <w:jc w:val="center"/>
        <w:textAlignment w:val="baseline"/>
        <w:rPr>
          <w:rStyle w:val="5"/>
          <w:color w:val="000000"/>
        </w:rPr>
      </w:pPr>
      <w:r>
        <w:rPr>
          <w:rStyle w:val="5"/>
          <w:rFonts w:hint="eastAsia"/>
          <w:color w:val="000000"/>
        </w:rPr>
        <w:t xml:space="preserve"> </w:t>
      </w:r>
    </w:p>
    <w:p>
      <w:pPr>
        <w:pStyle w:val="2"/>
        <w:shd w:val="clear" w:color="auto" w:fill="FFFFFF"/>
        <w:wordWrap w:val="0"/>
        <w:adjustRightInd w:val="0"/>
        <w:snapToGrid w:val="0"/>
        <w:spacing w:before="0" w:beforeAutospacing="0" w:after="0" w:afterAutospacing="0"/>
        <w:jc w:val="center"/>
        <w:textAlignment w:val="baseline"/>
        <w:rPr>
          <w:rFonts w:ascii="仿宋_GB2312" w:hAnsi="仿宋_GB2312" w:eastAsia="仿宋_GB2312" w:cs="仿宋_GB2312"/>
          <w:color w:val="000000"/>
          <w:sz w:val="30"/>
          <w:szCs w:val="30"/>
        </w:rPr>
      </w:pPr>
      <w:r>
        <w:rPr>
          <w:rStyle w:val="5"/>
          <w:rFonts w:hint="eastAsia" w:ascii="仿宋_GB2312" w:hAnsi="仿宋_GB2312" w:eastAsia="仿宋_GB2312" w:cs="仿宋_GB2312"/>
          <w:color w:val="000000"/>
          <w:sz w:val="30"/>
          <w:szCs w:val="30"/>
        </w:rPr>
        <w:t>第一章  总  则</w:t>
      </w:r>
    </w:p>
    <w:p>
      <w:pPr>
        <w:shd w:val="clear" w:color="auto" w:fill="FFFFFF"/>
        <w:adjustRightInd w:val="0"/>
        <w:snapToGrid w:val="0"/>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第一条  </w:t>
      </w:r>
      <w:r>
        <w:rPr>
          <w:rFonts w:hint="eastAsia" w:ascii="仿宋_GB2312" w:hAnsi="仿宋_GB2312" w:eastAsia="仿宋_GB2312" w:cs="仿宋_GB2312"/>
          <w:color w:val="000000"/>
          <w:kern w:val="0"/>
          <w:sz w:val="30"/>
          <w:szCs w:val="30"/>
        </w:rPr>
        <w:t>根据教育部办公厅《关于做好2022年普通高等学校专升本考试招生工作的通知》（教学厅[2021]8号）、浙江省教育厅办公室《浙江省退役大学生士兵免试专升本招生工作实施办法》（浙教办考〔2021〕58号）文件精神，结合学校实际，制定本章程。</w:t>
      </w:r>
    </w:p>
    <w:p>
      <w:pPr>
        <w:pStyle w:val="2"/>
        <w:shd w:val="clear" w:color="auto" w:fill="FFFFFF"/>
        <w:wordWrap w:val="0"/>
        <w:adjustRightInd w:val="0"/>
        <w:snapToGrid w:val="0"/>
        <w:spacing w:before="0" w:beforeAutospacing="0" w:after="0" w:afterAutospacing="0" w:line="560" w:lineRule="exact"/>
        <w:ind w:firstLine="602" w:firstLineChars="200"/>
        <w:jc w:val="center"/>
        <w:textAlignment w:val="baseline"/>
        <w:rPr>
          <w:rStyle w:val="5"/>
          <w:rFonts w:hint="eastAsia" w:ascii="仿宋_GB2312" w:hAnsi="仿宋_GB2312" w:eastAsia="仿宋_GB2312" w:cs="仿宋_GB2312"/>
          <w:color w:val="000000"/>
          <w:sz w:val="30"/>
          <w:szCs w:val="30"/>
        </w:rPr>
      </w:pPr>
      <w:r>
        <w:rPr>
          <w:rStyle w:val="5"/>
          <w:rFonts w:hint="eastAsia" w:ascii="仿宋_GB2312" w:hAnsi="仿宋_GB2312" w:eastAsia="仿宋_GB2312" w:cs="仿宋_GB2312"/>
          <w:color w:val="000000"/>
          <w:sz w:val="30"/>
          <w:szCs w:val="30"/>
        </w:rPr>
        <w:t>第二章 学校概况</w:t>
      </w:r>
    </w:p>
    <w:p>
      <w:pPr>
        <w:pStyle w:val="2"/>
        <w:shd w:val="clear" w:color="auto" w:fill="FFFFFF"/>
        <w:wordWrap w:val="0"/>
        <w:adjustRightInd w:val="0"/>
        <w:snapToGrid w:val="0"/>
        <w:spacing w:before="0" w:beforeAutospacing="0" w:after="0" w:afterAutospacing="0" w:line="560" w:lineRule="exact"/>
        <w:ind w:firstLine="600" w:firstLineChars="200"/>
        <w:jc w:val="both"/>
        <w:textAlignment w:val="baseline"/>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第二条  学校全称：浙江理工大学科技与艺术学院 </w:t>
      </w:r>
    </w:p>
    <w:p>
      <w:pPr>
        <w:pStyle w:val="2"/>
        <w:shd w:val="clear" w:color="auto" w:fill="FFFFFF"/>
        <w:wordWrap w:val="0"/>
        <w:adjustRightInd w:val="0"/>
        <w:snapToGrid w:val="0"/>
        <w:spacing w:before="0" w:beforeAutospacing="0" w:after="0" w:afterAutospacing="0" w:line="560" w:lineRule="exact"/>
        <w:ind w:firstLine="600" w:firstLineChars="200"/>
        <w:jc w:val="both"/>
        <w:textAlignment w:val="baseline"/>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国家代码：13280      浙江省代码：0097</w:t>
      </w:r>
    </w:p>
    <w:p>
      <w:pPr>
        <w:widowControl/>
        <w:adjustRightInd w:val="0"/>
        <w:snapToGrid w:val="0"/>
        <w:spacing w:line="560" w:lineRule="exact"/>
        <w:ind w:firstLine="600" w:firstLineChars="200"/>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sz w:val="30"/>
          <w:szCs w:val="30"/>
        </w:rPr>
        <w:t>第三条  办学层次、类型和基本情况：</w:t>
      </w:r>
      <w:r>
        <w:rPr>
          <w:rFonts w:hint="eastAsia" w:ascii="仿宋_GB2312" w:hAnsi="仿宋_GB2312" w:eastAsia="仿宋_GB2312" w:cs="仿宋_GB2312"/>
          <w:color w:val="000000"/>
          <w:kern w:val="0"/>
          <w:sz w:val="30"/>
          <w:szCs w:val="30"/>
        </w:rPr>
        <w:t>本科、独立学院、全日制普通高等学校。</w:t>
      </w:r>
    </w:p>
    <w:p>
      <w:pPr>
        <w:pStyle w:val="2"/>
        <w:shd w:val="clear" w:color="auto" w:fill="FFFFFF"/>
        <w:wordWrap w:val="0"/>
        <w:adjustRightInd w:val="0"/>
        <w:snapToGrid w:val="0"/>
        <w:spacing w:before="0" w:beforeAutospacing="0" w:after="0" w:afterAutospacing="0" w:line="560" w:lineRule="exact"/>
        <w:ind w:firstLine="600" w:firstLineChars="200"/>
        <w:jc w:val="both"/>
        <w:textAlignment w:val="baseline"/>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第四条  学校地址：浙江省绍兴市上虞区康阳大道58号。</w:t>
      </w:r>
    </w:p>
    <w:p>
      <w:pPr>
        <w:pStyle w:val="2"/>
        <w:shd w:val="clear" w:color="auto" w:fill="FFFFFF"/>
        <w:wordWrap w:val="0"/>
        <w:adjustRightInd w:val="0"/>
        <w:snapToGrid w:val="0"/>
        <w:spacing w:before="0" w:beforeAutospacing="0" w:after="0" w:afterAutospacing="0" w:line="560" w:lineRule="exact"/>
        <w:ind w:firstLine="600" w:firstLineChars="200"/>
        <w:jc w:val="both"/>
        <w:textAlignment w:val="baseline"/>
        <w:rPr>
          <w:rFonts w:ascii="仿宋_GB2312" w:hAnsi="仿宋_GB2312" w:eastAsia="仿宋_GB2312" w:cs="仿宋_GB2312"/>
          <w:sz w:val="30"/>
          <w:szCs w:val="30"/>
        </w:rPr>
      </w:pPr>
      <w:r>
        <w:rPr>
          <w:rFonts w:hint="eastAsia" w:ascii="仿宋_GB2312" w:hAnsi="仿宋_GB2312" w:eastAsia="仿宋_GB2312" w:cs="仿宋_GB2312"/>
          <w:color w:val="000000"/>
          <w:sz w:val="30"/>
          <w:szCs w:val="30"/>
        </w:rPr>
        <w:t>第五条  入学户籍地：浙江省绍兴市上虞区。</w:t>
      </w:r>
    </w:p>
    <w:p>
      <w:pPr>
        <w:pStyle w:val="2"/>
        <w:shd w:val="clear" w:color="auto" w:fill="FFFFFF"/>
        <w:wordWrap w:val="0"/>
        <w:adjustRightInd w:val="0"/>
        <w:snapToGrid w:val="0"/>
        <w:spacing w:before="0" w:beforeAutospacing="0" w:after="0" w:afterAutospacing="0" w:line="560" w:lineRule="exact"/>
        <w:ind w:firstLine="600" w:firstLineChars="200"/>
        <w:jc w:val="both"/>
        <w:textAlignment w:val="baseline"/>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第六条  颁发毕业证书及学位证书的学校名称：浙江理工大学科技与艺术学院</w:t>
      </w:r>
    </w:p>
    <w:p>
      <w:pPr>
        <w:adjustRightInd w:val="0"/>
        <w:snapToGrid w:val="0"/>
        <w:spacing w:line="560" w:lineRule="exact"/>
        <w:ind w:firstLine="600" w:firstLineChars="20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第七条  学校基本情况：</w:t>
      </w:r>
    </w:p>
    <w:p>
      <w:pPr>
        <w:adjustRightInd w:val="0"/>
        <w:snapToGrid w:val="0"/>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浙江理工大学科技与艺术学院是由浙江理工大学创办的独立学院，于2000年开始招收本科生。学院占地面积550亩，总建筑面积23万余平方米，办学设施完善。    </w:t>
      </w:r>
    </w:p>
    <w:p>
      <w:pPr>
        <w:adjustRightInd w:val="0"/>
        <w:snapToGrid w:val="0"/>
        <w:spacing w:line="56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学院坚持因材施教，实行学分制、主辅修制和优秀生培养方案，积极实施素质教育，确保和提高人才培养质量。</w:t>
      </w:r>
    </w:p>
    <w:p>
      <w:pPr>
        <w:adjustRightInd w:val="0"/>
        <w:snapToGrid w:val="0"/>
        <w:spacing w:line="560" w:lineRule="exact"/>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kern w:val="0"/>
          <w:sz w:val="30"/>
          <w:szCs w:val="30"/>
        </w:rPr>
        <w:t>学院现设有本科专业30个，在校生近9000人。学院依托浙江理工大学雄厚的师资力量和综合办学优势，紧密结合地方经济建设和社会发展需要，以纺织、服装、艺术设计为特色，理、工、艺、经、管等多学科协调发展，以培养基础扎实、具有较强创新精神和实践能力的高素质应用型人才为目标。2019年4月，学院顺利通过独立学院规范设置省级验收。</w:t>
      </w:r>
    </w:p>
    <w:p>
      <w:pPr>
        <w:pStyle w:val="2"/>
        <w:shd w:val="clear" w:color="auto" w:fill="FFFFFF"/>
        <w:wordWrap w:val="0"/>
        <w:adjustRightInd w:val="0"/>
        <w:snapToGrid w:val="0"/>
        <w:spacing w:before="0" w:beforeAutospacing="0" w:after="0" w:afterAutospacing="0" w:line="560" w:lineRule="exact"/>
        <w:ind w:firstLine="602" w:firstLineChars="200"/>
        <w:jc w:val="center"/>
        <w:textAlignment w:val="baseline"/>
        <w:rPr>
          <w:rStyle w:val="5"/>
          <w:rFonts w:ascii="仿宋_GB2312" w:hAnsi="仿宋_GB2312" w:eastAsia="仿宋_GB2312" w:cs="仿宋_GB2312"/>
          <w:color w:val="000000"/>
          <w:sz w:val="30"/>
          <w:szCs w:val="30"/>
        </w:rPr>
      </w:pPr>
      <w:r>
        <w:rPr>
          <w:rStyle w:val="5"/>
          <w:rFonts w:hint="eastAsia" w:ascii="仿宋_GB2312" w:hAnsi="仿宋_GB2312" w:eastAsia="仿宋_GB2312" w:cs="仿宋_GB2312"/>
          <w:color w:val="000000"/>
          <w:sz w:val="30"/>
          <w:szCs w:val="30"/>
        </w:rPr>
        <w:t>第三章  招生计划</w:t>
      </w:r>
    </w:p>
    <w:p>
      <w:pPr>
        <w:shd w:val="clear" w:color="auto" w:fill="FFFFFF"/>
        <w:adjustRightInd w:val="0"/>
        <w:snapToGrid w:val="0"/>
        <w:spacing w:line="560" w:lineRule="exact"/>
        <w:ind w:firstLine="600" w:firstLineChars="200"/>
        <w:rPr>
          <w:rStyle w:val="5"/>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rPr>
        <w:t>第八条</w:t>
      </w:r>
      <w:r>
        <w:rPr>
          <w:rFonts w:hint="eastAsia" w:ascii="仿宋_GB2312" w:hAnsi="仿宋_GB2312" w:eastAsia="仿宋_GB2312" w:cs="仿宋_GB2312"/>
          <w:b/>
          <w:bCs/>
          <w:color w:val="000000"/>
          <w:kern w:val="0"/>
          <w:sz w:val="30"/>
          <w:szCs w:val="30"/>
        </w:rPr>
        <w:t xml:space="preserve">  </w:t>
      </w:r>
      <w:r>
        <w:rPr>
          <w:rFonts w:hint="eastAsia" w:ascii="仿宋_GB2312" w:hAnsi="仿宋_GB2312" w:eastAsia="仿宋_GB2312" w:cs="仿宋_GB2312"/>
          <w:color w:val="000000"/>
          <w:kern w:val="0"/>
          <w:sz w:val="30"/>
          <w:szCs w:val="30"/>
        </w:rPr>
        <w:t>学校免试专升本招生面向在浙江省应征入伍且在退役后完成高职（专科）学业的退役大学生士兵。学校将招生专业分为理工、经管、文史、法学、艺术五个招生类别，按专业对口原则实施招生。具体招生专业如下表：</w:t>
      </w:r>
    </w:p>
    <w:tbl>
      <w:tblPr>
        <w:tblStyle w:val="3"/>
        <w:tblW w:w="8468" w:type="dxa"/>
        <w:tblInd w:w="93" w:type="dxa"/>
        <w:tblLayout w:type="fixed"/>
        <w:tblCellMar>
          <w:top w:w="0" w:type="dxa"/>
          <w:left w:w="108" w:type="dxa"/>
          <w:bottom w:w="0" w:type="dxa"/>
          <w:right w:w="108" w:type="dxa"/>
        </w:tblCellMar>
      </w:tblPr>
      <w:tblGrid>
        <w:gridCol w:w="1311"/>
        <w:gridCol w:w="2868"/>
        <w:gridCol w:w="1005"/>
        <w:gridCol w:w="3284"/>
      </w:tblGrid>
      <w:tr>
        <w:tblPrEx>
          <w:tblCellMar>
            <w:top w:w="0" w:type="dxa"/>
            <w:left w:w="108" w:type="dxa"/>
            <w:bottom w:w="0" w:type="dxa"/>
            <w:right w:w="108" w:type="dxa"/>
          </w:tblCellMar>
        </w:tblPrEx>
        <w:trPr>
          <w:trHeight w:val="320" w:hRule="atLeast"/>
        </w:trPr>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二级学院</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专业</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类别</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专业限制</w:t>
            </w:r>
          </w:p>
        </w:tc>
      </w:tr>
      <w:tr>
        <w:tblPrEx>
          <w:tblCellMar>
            <w:top w:w="0" w:type="dxa"/>
            <w:left w:w="108" w:type="dxa"/>
            <w:bottom w:w="0" w:type="dxa"/>
            <w:right w:w="108" w:type="dxa"/>
          </w:tblCellMar>
        </w:tblPrEx>
        <w:trPr>
          <w:trHeight w:val="320" w:hRule="atLeast"/>
        </w:trPr>
        <w:tc>
          <w:tcPr>
            <w:tcW w:w="1311"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经济管理</w:t>
            </w:r>
          </w:p>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学院</w:t>
            </w:r>
          </w:p>
        </w:tc>
        <w:tc>
          <w:tcPr>
            <w:tcW w:w="28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市场营销</w:t>
            </w:r>
          </w:p>
        </w:tc>
        <w:tc>
          <w:tcPr>
            <w:tcW w:w="1005" w:type="dxa"/>
            <w:tcBorders>
              <w:top w:val="single" w:color="000000" w:sz="4" w:space="0"/>
              <w:left w:val="single" w:color="000000" w:sz="4" w:space="0"/>
              <w:bottom w:val="nil"/>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文史类</w:t>
            </w:r>
          </w:p>
        </w:tc>
        <w:tc>
          <w:tcPr>
            <w:tcW w:w="3284" w:type="dxa"/>
            <w:tcBorders>
              <w:top w:val="single" w:color="000000" w:sz="4" w:space="0"/>
              <w:left w:val="single" w:color="000000" w:sz="4" w:space="0"/>
              <w:bottom w:val="nil"/>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文史类皆可</w:t>
            </w:r>
          </w:p>
        </w:tc>
      </w:tr>
      <w:tr>
        <w:tblPrEx>
          <w:tblCellMar>
            <w:top w:w="0" w:type="dxa"/>
            <w:left w:w="108" w:type="dxa"/>
            <w:bottom w:w="0" w:type="dxa"/>
            <w:right w:w="108" w:type="dxa"/>
          </w:tblCellMar>
        </w:tblPrEx>
        <w:trPr>
          <w:trHeight w:val="320" w:hRule="atLeast"/>
        </w:trPr>
        <w:tc>
          <w:tcPr>
            <w:tcW w:w="1311"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60" w:lineRule="auto"/>
              <w:jc w:val="center"/>
              <w:rPr>
                <w:rFonts w:ascii="宋体" w:hAnsi="宋体" w:eastAsia="宋体" w:cs="宋体"/>
                <w:color w:val="000000"/>
                <w:szCs w:val="21"/>
              </w:rPr>
            </w:pPr>
          </w:p>
        </w:tc>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eastAsia="宋体" w:cs="宋体"/>
                <w:color w:val="000000"/>
                <w:szCs w:val="21"/>
              </w:rPr>
            </w:pPr>
          </w:p>
        </w:tc>
        <w:tc>
          <w:tcPr>
            <w:tcW w:w="1005" w:type="dxa"/>
            <w:tcBorders>
              <w:top w:val="single" w:color="000000" w:sz="4" w:space="0"/>
              <w:left w:val="single" w:color="000000" w:sz="4" w:space="0"/>
              <w:bottom w:val="nil"/>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经管类</w:t>
            </w:r>
          </w:p>
        </w:tc>
        <w:tc>
          <w:tcPr>
            <w:tcW w:w="3284" w:type="dxa"/>
            <w:tcBorders>
              <w:top w:val="single" w:color="000000" w:sz="4" w:space="0"/>
              <w:left w:val="single" w:color="000000" w:sz="4" w:space="0"/>
              <w:bottom w:val="nil"/>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经管类皆可</w:t>
            </w:r>
          </w:p>
        </w:tc>
      </w:tr>
      <w:tr>
        <w:tblPrEx>
          <w:tblCellMar>
            <w:top w:w="0" w:type="dxa"/>
            <w:left w:w="108" w:type="dxa"/>
            <w:bottom w:w="0" w:type="dxa"/>
            <w:right w:w="108" w:type="dxa"/>
          </w:tblCellMar>
        </w:tblPrEx>
        <w:trPr>
          <w:trHeight w:val="320" w:hRule="atLeast"/>
        </w:trPr>
        <w:tc>
          <w:tcPr>
            <w:tcW w:w="1311"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60" w:lineRule="auto"/>
              <w:jc w:val="center"/>
              <w:rPr>
                <w:rFonts w:ascii="宋体" w:hAnsi="宋体" w:eastAsia="宋体" w:cs="宋体"/>
                <w:color w:val="000000"/>
                <w:szCs w:val="21"/>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电子商务</w:t>
            </w:r>
          </w:p>
        </w:tc>
        <w:tc>
          <w:tcPr>
            <w:tcW w:w="1005" w:type="dxa"/>
            <w:tcBorders>
              <w:top w:val="single" w:color="000000" w:sz="4" w:space="0"/>
              <w:left w:val="single" w:color="000000" w:sz="4" w:space="0"/>
              <w:bottom w:val="nil"/>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经管类</w:t>
            </w:r>
          </w:p>
        </w:tc>
        <w:tc>
          <w:tcPr>
            <w:tcW w:w="3284" w:type="dxa"/>
            <w:tcBorders>
              <w:top w:val="single" w:color="000000" w:sz="4" w:space="0"/>
              <w:left w:val="single" w:color="000000" w:sz="4" w:space="0"/>
              <w:bottom w:val="nil"/>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经管类皆可</w:t>
            </w:r>
          </w:p>
        </w:tc>
      </w:tr>
      <w:tr>
        <w:tblPrEx>
          <w:tblCellMar>
            <w:top w:w="0" w:type="dxa"/>
            <w:left w:w="108" w:type="dxa"/>
            <w:bottom w:w="0" w:type="dxa"/>
            <w:right w:w="108" w:type="dxa"/>
          </w:tblCellMar>
        </w:tblPrEx>
        <w:trPr>
          <w:trHeight w:val="320" w:hRule="atLeast"/>
        </w:trPr>
        <w:tc>
          <w:tcPr>
            <w:tcW w:w="1311"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60" w:lineRule="auto"/>
              <w:jc w:val="center"/>
              <w:rPr>
                <w:rFonts w:ascii="宋体" w:hAnsi="宋体" w:eastAsia="宋体" w:cs="宋体"/>
                <w:color w:val="000000"/>
                <w:szCs w:val="21"/>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工商管理</w:t>
            </w:r>
          </w:p>
        </w:tc>
        <w:tc>
          <w:tcPr>
            <w:tcW w:w="1005" w:type="dxa"/>
            <w:tcBorders>
              <w:top w:val="single" w:color="000000" w:sz="4" w:space="0"/>
              <w:left w:val="single" w:color="000000" w:sz="4" w:space="0"/>
              <w:bottom w:val="nil"/>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经管类</w:t>
            </w:r>
          </w:p>
        </w:tc>
        <w:tc>
          <w:tcPr>
            <w:tcW w:w="3284" w:type="dxa"/>
            <w:tcBorders>
              <w:top w:val="single" w:color="000000" w:sz="4" w:space="0"/>
              <w:left w:val="single" w:color="000000" w:sz="4" w:space="0"/>
              <w:bottom w:val="nil"/>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经管类皆可</w:t>
            </w:r>
          </w:p>
        </w:tc>
      </w:tr>
      <w:tr>
        <w:tblPrEx>
          <w:tblCellMar>
            <w:top w:w="0" w:type="dxa"/>
            <w:left w:w="108" w:type="dxa"/>
            <w:bottom w:w="0" w:type="dxa"/>
            <w:right w:w="108" w:type="dxa"/>
          </w:tblCellMar>
        </w:tblPrEx>
        <w:trPr>
          <w:trHeight w:val="320" w:hRule="atLeast"/>
        </w:trPr>
        <w:tc>
          <w:tcPr>
            <w:tcW w:w="1311"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60" w:lineRule="auto"/>
              <w:jc w:val="center"/>
              <w:rPr>
                <w:rFonts w:ascii="宋体" w:hAnsi="宋体" w:eastAsia="宋体" w:cs="宋体"/>
                <w:color w:val="000000"/>
                <w:szCs w:val="21"/>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会计学</w:t>
            </w:r>
          </w:p>
        </w:tc>
        <w:tc>
          <w:tcPr>
            <w:tcW w:w="1005" w:type="dxa"/>
            <w:tcBorders>
              <w:top w:val="single" w:color="000000" w:sz="4" w:space="0"/>
              <w:left w:val="single" w:color="000000" w:sz="4" w:space="0"/>
              <w:bottom w:val="nil"/>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经管类</w:t>
            </w:r>
          </w:p>
        </w:tc>
        <w:tc>
          <w:tcPr>
            <w:tcW w:w="3284" w:type="dxa"/>
            <w:tcBorders>
              <w:top w:val="single" w:color="000000" w:sz="4" w:space="0"/>
              <w:left w:val="single" w:color="000000" w:sz="4" w:space="0"/>
              <w:bottom w:val="nil"/>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经管类皆可</w:t>
            </w:r>
          </w:p>
        </w:tc>
      </w:tr>
      <w:tr>
        <w:tblPrEx>
          <w:tblCellMar>
            <w:top w:w="0" w:type="dxa"/>
            <w:left w:w="108" w:type="dxa"/>
            <w:bottom w:w="0" w:type="dxa"/>
            <w:right w:w="108" w:type="dxa"/>
          </w:tblCellMar>
        </w:tblPrEx>
        <w:trPr>
          <w:trHeight w:val="320" w:hRule="atLeast"/>
        </w:trPr>
        <w:tc>
          <w:tcPr>
            <w:tcW w:w="1311"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60" w:lineRule="auto"/>
              <w:jc w:val="center"/>
              <w:rPr>
                <w:rFonts w:ascii="宋体" w:hAnsi="宋体" w:eastAsia="宋体" w:cs="宋体"/>
                <w:color w:val="000000"/>
                <w:szCs w:val="21"/>
              </w:rPr>
            </w:pPr>
          </w:p>
        </w:tc>
        <w:tc>
          <w:tcPr>
            <w:tcW w:w="28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国际经济与贸易</w:t>
            </w:r>
          </w:p>
        </w:tc>
        <w:tc>
          <w:tcPr>
            <w:tcW w:w="1005" w:type="dxa"/>
            <w:tcBorders>
              <w:top w:val="single" w:color="000000" w:sz="4" w:space="0"/>
              <w:left w:val="single" w:color="000000" w:sz="4" w:space="0"/>
              <w:bottom w:val="nil"/>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文史类</w:t>
            </w:r>
          </w:p>
        </w:tc>
        <w:tc>
          <w:tcPr>
            <w:tcW w:w="3284" w:type="dxa"/>
            <w:tcBorders>
              <w:top w:val="single" w:color="000000" w:sz="4" w:space="0"/>
              <w:left w:val="single" w:color="000000" w:sz="4" w:space="0"/>
              <w:bottom w:val="nil"/>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文史类皆可</w:t>
            </w:r>
          </w:p>
        </w:tc>
      </w:tr>
      <w:tr>
        <w:tblPrEx>
          <w:tblCellMar>
            <w:top w:w="0" w:type="dxa"/>
            <w:left w:w="108" w:type="dxa"/>
            <w:bottom w:w="0" w:type="dxa"/>
            <w:right w:w="108" w:type="dxa"/>
          </w:tblCellMar>
        </w:tblPrEx>
        <w:trPr>
          <w:trHeight w:val="320" w:hRule="atLeast"/>
        </w:trPr>
        <w:tc>
          <w:tcPr>
            <w:tcW w:w="1311"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60" w:lineRule="auto"/>
              <w:jc w:val="center"/>
              <w:rPr>
                <w:rFonts w:ascii="宋体" w:hAnsi="宋体" w:eastAsia="宋体" w:cs="宋体"/>
                <w:color w:val="000000"/>
                <w:szCs w:val="21"/>
              </w:rPr>
            </w:pPr>
          </w:p>
        </w:tc>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eastAsia="宋体" w:cs="宋体"/>
                <w:color w:val="000000"/>
                <w:szCs w:val="21"/>
              </w:rPr>
            </w:pPr>
          </w:p>
        </w:tc>
        <w:tc>
          <w:tcPr>
            <w:tcW w:w="1005" w:type="dxa"/>
            <w:tcBorders>
              <w:top w:val="single" w:color="000000" w:sz="4" w:space="0"/>
              <w:left w:val="single" w:color="000000" w:sz="4" w:space="0"/>
              <w:bottom w:val="nil"/>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经管类</w:t>
            </w:r>
          </w:p>
        </w:tc>
        <w:tc>
          <w:tcPr>
            <w:tcW w:w="3284" w:type="dxa"/>
            <w:tcBorders>
              <w:top w:val="single" w:color="000000" w:sz="4" w:space="0"/>
              <w:left w:val="single" w:color="000000" w:sz="4" w:space="0"/>
              <w:bottom w:val="nil"/>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经管类皆可</w:t>
            </w:r>
          </w:p>
        </w:tc>
      </w:tr>
      <w:tr>
        <w:tblPrEx>
          <w:tblCellMar>
            <w:top w:w="0" w:type="dxa"/>
            <w:left w:w="108" w:type="dxa"/>
            <w:bottom w:w="0" w:type="dxa"/>
            <w:right w:w="108" w:type="dxa"/>
          </w:tblCellMar>
        </w:tblPrEx>
        <w:trPr>
          <w:trHeight w:val="320" w:hRule="atLeast"/>
        </w:trPr>
        <w:tc>
          <w:tcPr>
            <w:tcW w:w="1311"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60" w:lineRule="auto"/>
              <w:jc w:val="center"/>
              <w:rPr>
                <w:rFonts w:ascii="宋体" w:hAnsi="宋体" w:eastAsia="宋体" w:cs="宋体"/>
                <w:color w:val="000000"/>
                <w:szCs w:val="21"/>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经济学</w:t>
            </w:r>
          </w:p>
        </w:tc>
        <w:tc>
          <w:tcPr>
            <w:tcW w:w="1005" w:type="dxa"/>
            <w:tcBorders>
              <w:top w:val="single" w:color="000000" w:sz="4" w:space="0"/>
              <w:left w:val="single" w:color="000000" w:sz="4" w:space="0"/>
              <w:bottom w:val="nil"/>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经管类</w:t>
            </w:r>
          </w:p>
        </w:tc>
        <w:tc>
          <w:tcPr>
            <w:tcW w:w="3284" w:type="dxa"/>
            <w:tcBorders>
              <w:top w:val="single" w:color="000000" w:sz="4" w:space="0"/>
              <w:left w:val="single" w:color="000000" w:sz="4" w:space="0"/>
              <w:bottom w:val="nil"/>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经管类皆可</w:t>
            </w:r>
          </w:p>
        </w:tc>
      </w:tr>
      <w:tr>
        <w:tblPrEx>
          <w:tblCellMar>
            <w:top w:w="0" w:type="dxa"/>
            <w:left w:w="108" w:type="dxa"/>
            <w:bottom w:w="0" w:type="dxa"/>
            <w:right w:w="108" w:type="dxa"/>
          </w:tblCellMar>
        </w:tblPrEx>
        <w:trPr>
          <w:trHeight w:val="320" w:hRule="atLeast"/>
        </w:trPr>
        <w:tc>
          <w:tcPr>
            <w:tcW w:w="1311"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60" w:lineRule="auto"/>
              <w:jc w:val="center"/>
              <w:rPr>
                <w:rFonts w:ascii="宋体" w:hAnsi="宋体" w:eastAsia="宋体" w:cs="宋体"/>
                <w:color w:val="000000"/>
                <w:szCs w:val="21"/>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人力资源管理</w:t>
            </w:r>
          </w:p>
        </w:tc>
        <w:tc>
          <w:tcPr>
            <w:tcW w:w="1005" w:type="dxa"/>
            <w:tcBorders>
              <w:top w:val="single" w:color="000000" w:sz="4" w:space="0"/>
              <w:left w:val="single" w:color="000000" w:sz="4" w:space="0"/>
              <w:bottom w:val="nil"/>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经管类</w:t>
            </w:r>
          </w:p>
        </w:tc>
        <w:tc>
          <w:tcPr>
            <w:tcW w:w="3284" w:type="dxa"/>
            <w:tcBorders>
              <w:top w:val="single" w:color="000000" w:sz="4" w:space="0"/>
              <w:left w:val="single" w:color="000000" w:sz="4" w:space="0"/>
              <w:bottom w:val="nil"/>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经管类皆可</w:t>
            </w:r>
          </w:p>
        </w:tc>
      </w:tr>
      <w:tr>
        <w:tblPrEx>
          <w:tblCellMar>
            <w:top w:w="0" w:type="dxa"/>
            <w:left w:w="108" w:type="dxa"/>
            <w:bottom w:w="0" w:type="dxa"/>
            <w:right w:w="108" w:type="dxa"/>
          </w:tblCellMar>
        </w:tblPrEx>
        <w:trPr>
          <w:trHeight w:val="320" w:hRule="atLeast"/>
        </w:trPr>
        <w:tc>
          <w:tcPr>
            <w:tcW w:w="1311"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60" w:lineRule="auto"/>
              <w:jc w:val="center"/>
              <w:rPr>
                <w:rFonts w:ascii="宋体" w:hAnsi="宋体" w:eastAsia="宋体" w:cs="宋体"/>
                <w:color w:val="000000"/>
                <w:szCs w:val="21"/>
              </w:rPr>
            </w:pPr>
          </w:p>
        </w:tc>
        <w:tc>
          <w:tcPr>
            <w:tcW w:w="2868" w:type="dxa"/>
            <w:tcBorders>
              <w:top w:val="single" w:color="000000" w:sz="4" w:space="0"/>
              <w:left w:val="single" w:color="000000" w:sz="4" w:space="0"/>
              <w:bottom w:val="nil"/>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信息管理与信息系统</w:t>
            </w:r>
          </w:p>
        </w:tc>
        <w:tc>
          <w:tcPr>
            <w:tcW w:w="1005" w:type="dxa"/>
            <w:tcBorders>
              <w:top w:val="single" w:color="000000" w:sz="4" w:space="0"/>
              <w:left w:val="single" w:color="000000" w:sz="4" w:space="0"/>
              <w:bottom w:val="nil"/>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经管类</w:t>
            </w:r>
          </w:p>
        </w:tc>
        <w:tc>
          <w:tcPr>
            <w:tcW w:w="3284" w:type="dxa"/>
            <w:tcBorders>
              <w:top w:val="single" w:color="000000" w:sz="4" w:space="0"/>
              <w:left w:val="single" w:color="000000" w:sz="4" w:space="0"/>
              <w:bottom w:val="nil"/>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经管类皆可</w:t>
            </w:r>
          </w:p>
        </w:tc>
      </w:tr>
      <w:tr>
        <w:tblPrEx>
          <w:tblCellMar>
            <w:top w:w="0" w:type="dxa"/>
            <w:left w:w="108" w:type="dxa"/>
            <w:bottom w:w="0" w:type="dxa"/>
            <w:right w:w="108" w:type="dxa"/>
          </w:tblCellMar>
        </w:tblPrEx>
        <w:trPr>
          <w:trHeight w:val="320" w:hRule="atLeast"/>
        </w:trPr>
        <w:tc>
          <w:tcPr>
            <w:tcW w:w="1311"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人文与国际交流学院</w:t>
            </w:r>
          </w:p>
        </w:tc>
        <w:tc>
          <w:tcPr>
            <w:tcW w:w="28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公共事业管理</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文史类</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文史类皆可</w:t>
            </w:r>
          </w:p>
        </w:tc>
      </w:tr>
      <w:tr>
        <w:tblPrEx>
          <w:tblCellMar>
            <w:top w:w="0" w:type="dxa"/>
            <w:left w:w="108" w:type="dxa"/>
            <w:bottom w:w="0" w:type="dxa"/>
            <w:right w:w="108" w:type="dxa"/>
          </w:tblCellMar>
        </w:tblPrEx>
        <w:trPr>
          <w:trHeight w:val="320" w:hRule="atLeast"/>
        </w:trPr>
        <w:tc>
          <w:tcPr>
            <w:tcW w:w="1311"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60" w:lineRule="auto"/>
              <w:jc w:val="left"/>
              <w:rPr>
                <w:rFonts w:ascii="宋体" w:hAnsi="宋体" w:eastAsia="宋体" w:cs="宋体"/>
                <w:color w:val="000000"/>
                <w:szCs w:val="21"/>
              </w:rPr>
            </w:pPr>
          </w:p>
        </w:tc>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eastAsia="宋体" w:cs="宋体"/>
                <w:color w:val="000000"/>
                <w:szCs w:val="21"/>
              </w:rPr>
            </w:pPr>
          </w:p>
        </w:tc>
        <w:tc>
          <w:tcPr>
            <w:tcW w:w="1005" w:type="dxa"/>
            <w:tcBorders>
              <w:top w:val="single" w:color="000000" w:sz="4" w:space="0"/>
              <w:left w:val="single" w:color="000000" w:sz="4" w:space="0"/>
              <w:bottom w:val="nil"/>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经管类</w:t>
            </w:r>
          </w:p>
        </w:tc>
        <w:tc>
          <w:tcPr>
            <w:tcW w:w="3284" w:type="dxa"/>
            <w:tcBorders>
              <w:top w:val="single" w:color="000000" w:sz="4" w:space="0"/>
              <w:left w:val="single" w:color="000000" w:sz="4" w:space="0"/>
              <w:bottom w:val="nil"/>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经管类皆可</w:t>
            </w:r>
          </w:p>
        </w:tc>
      </w:tr>
      <w:tr>
        <w:tblPrEx>
          <w:tblCellMar>
            <w:top w:w="0" w:type="dxa"/>
            <w:left w:w="108" w:type="dxa"/>
            <w:bottom w:w="0" w:type="dxa"/>
            <w:right w:w="108" w:type="dxa"/>
          </w:tblCellMar>
        </w:tblPrEx>
        <w:trPr>
          <w:trHeight w:val="320" w:hRule="atLeast"/>
        </w:trPr>
        <w:tc>
          <w:tcPr>
            <w:tcW w:w="1311"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60" w:lineRule="auto"/>
              <w:jc w:val="left"/>
              <w:rPr>
                <w:rFonts w:ascii="宋体" w:hAnsi="宋体" w:eastAsia="宋体" w:cs="宋体"/>
                <w:color w:val="000000"/>
                <w:szCs w:val="21"/>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法学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法学类</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法学类皆可</w:t>
            </w:r>
          </w:p>
        </w:tc>
      </w:tr>
      <w:tr>
        <w:tblPrEx>
          <w:tblCellMar>
            <w:top w:w="0" w:type="dxa"/>
            <w:left w:w="108" w:type="dxa"/>
            <w:bottom w:w="0" w:type="dxa"/>
            <w:right w:w="108" w:type="dxa"/>
          </w:tblCellMar>
        </w:tblPrEx>
        <w:trPr>
          <w:trHeight w:val="320" w:hRule="atLeast"/>
        </w:trPr>
        <w:tc>
          <w:tcPr>
            <w:tcW w:w="1311"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60" w:lineRule="auto"/>
              <w:jc w:val="left"/>
              <w:rPr>
                <w:rFonts w:ascii="宋体" w:hAnsi="宋体" w:eastAsia="宋体" w:cs="宋体"/>
                <w:color w:val="000000"/>
                <w:szCs w:val="21"/>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英语</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文史类</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文史类皆可</w:t>
            </w:r>
          </w:p>
        </w:tc>
      </w:tr>
      <w:tr>
        <w:tblPrEx>
          <w:tblCellMar>
            <w:top w:w="0" w:type="dxa"/>
            <w:left w:w="108" w:type="dxa"/>
            <w:bottom w:w="0" w:type="dxa"/>
            <w:right w:w="108" w:type="dxa"/>
          </w:tblCellMar>
        </w:tblPrEx>
        <w:trPr>
          <w:trHeight w:val="320" w:hRule="atLeast"/>
        </w:trPr>
        <w:tc>
          <w:tcPr>
            <w:tcW w:w="1311"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60" w:lineRule="auto"/>
              <w:jc w:val="left"/>
              <w:rPr>
                <w:rFonts w:ascii="宋体" w:hAnsi="宋体" w:eastAsia="宋体" w:cs="宋体"/>
                <w:color w:val="000000"/>
                <w:szCs w:val="21"/>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日语</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文史类</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文史类皆可</w:t>
            </w:r>
          </w:p>
        </w:tc>
      </w:tr>
      <w:tr>
        <w:tblPrEx>
          <w:tblCellMar>
            <w:top w:w="0" w:type="dxa"/>
            <w:left w:w="108" w:type="dxa"/>
            <w:bottom w:w="0" w:type="dxa"/>
            <w:right w:w="108" w:type="dxa"/>
          </w:tblCellMar>
        </w:tblPrEx>
        <w:trPr>
          <w:trHeight w:val="1460" w:hRule="atLeast"/>
        </w:trPr>
        <w:tc>
          <w:tcPr>
            <w:tcW w:w="1311"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纺织服装</w:t>
            </w:r>
          </w:p>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学院</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服装与服饰设计</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艺术类</w:t>
            </w:r>
          </w:p>
        </w:tc>
        <w:tc>
          <w:tcPr>
            <w:tcW w:w="32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纺织品设计、针织技术与针织服装、服装设计与工艺、服装陈列与展示设计、数字媒体应用技术、艺术设计、产品艺术设计、服装与服饰设计、展示艺术设计、人物形象设计、美容美体艺术、表演艺术、服装表演、模特与礼仪、民族传统技艺、美术、美术教育、鞋类设计与工艺。</w:t>
            </w:r>
          </w:p>
        </w:tc>
      </w:tr>
      <w:tr>
        <w:tblPrEx>
          <w:tblCellMar>
            <w:top w:w="0" w:type="dxa"/>
            <w:left w:w="108" w:type="dxa"/>
            <w:bottom w:w="0" w:type="dxa"/>
            <w:right w:w="108" w:type="dxa"/>
          </w:tblCellMar>
        </w:tblPrEx>
        <w:trPr>
          <w:trHeight w:val="320" w:hRule="atLeast"/>
        </w:trPr>
        <w:tc>
          <w:tcPr>
            <w:tcW w:w="1311"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60" w:lineRule="auto"/>
              <w:jc w:val="left"/>
              <w:rPr>
                <w:rFonts w:ascii="宋体" w:hAnsi="宋体" w:eastAsia="宋体" w:cs="宋体"/>
                <w:color w:val="000000"/>
                <w:szCs w:val="21"/>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服装设计与工程</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理工类</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理工类皆可</w:t>
            </w:r>
          </w:p>
        </w:tc>
      </w:tr>
      <w:tr>
        <w:tblPrEx>
          <w:tblCellMar>
            <w:top w:w="0" w:type="dxa"/>
            <w:left w:w="108" w:type="dxa"/>
            <w:bottom w:w="0" w:type="dxa"/>
            <w:right w:w="108" w:type="dxa"/>
          </w:tblCellMar>
        </w:tblPrEx>
        <w:trPr>
          <w:trHeight w:val="320" w:hRule="atLeast"/>
        </w:trPr>
        <w:tc>
          <w:tcPr>
            <w:tcW w:w="1311"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60" w:lineRule="auto"/>
              <w:jc w:val="left"/>
              <w:rPr>
                <w:rFonts w:ascii="宋体" w:hAnsi="宋体" w:eastAsia="宋体" w:cs="宋体"/>
                <w:color w:val="000000"/>
                <w:szCs w:val="21"/>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纺织工程</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理工类</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理工类皆可</w:t>
            </w:r>
          </w:p>
        </w:tc>
      </w:tr>
      <w:tr>
        <w:tblPrEx>
          <w:tblCellMar>
            <w:top w:w="0" w:type="dxa"/>
            <w:left w:w="108" w:type="dxa"/>
            <w:bottom w:w="0" w:type="dxa"/>
            <w:right w:w="108" w:type="dxa"/>
          </w:tblCellMar>
        </w:tblPrEx>
        <w:trPr>
          <w:trHeight w:val="320" w:hRule="atLeast"/>
        </w:trPr>
        <w:tc>
          <w:tcPr>
            <w:tcW w:w="1311"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60" w:lineRule="auto"/>
              <w:jc w:val="left"/>
              <w:rPr>
                <w:rFonts w:ascii="宋体" w:hAnsi="宋体" w:eastAsia="宋体" w:cs="宋体"/>
                <w:color w:val="000000"/>
                <w:szCs w:val="21"/>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产品设计（纺织品艺术设计）</w:t>
            </w:r>
          </w:p>
        </w:tc>
        <w:tc>
          <w:tcPr>
            <w:tcW w:w="1005" w:type="dxa"/>
            <w:tcBorders>
              <w:top w:val="single" w:color="000000" w:sz="4" w:space="0"/>
              <w:left w:val="single" w:color="000000" w:sz="4" w:space="0"/>
              <w:bottom w:val="nil"/>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艺术类</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艺术类皆可</w:t>
            </w:r>
          </w:p>
        </w:tc>
      </w:tr>
      <w:tr>
        <w:tblPrEx>
          <w:tblCellMar>
            <w:top w:w="0" w:type="dxa"/>
            <w:left w:w="108" w:type="dxa"/>
            <w:bottom w:w="0" w:type="dxa"/>
            <w:right w:w="108" w:type="dxa"/>
          </w:tblCellMar>
        </w:tblPrEx>
        <w:trPr>
          <w:trHeight w:val="994" w:hRule="atLeast"/>
        </w:trPr>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建筑工程</w:t>
            </w:r>
          </w:p>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学院</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土木工程</w:t>
            </w:r>
          </w:p>
        </w:tc>
        <w:tc>
          <w:tcPr>
            <w:tcW w:w="1005" w:type="dxa"/>
            <w:tcBorders>
              <w:top w:val="single" w:color="000000" w:sz="4" w:space="0"/>
              <w:left w:val="single" w:color="000000" w:sz="4" w:space="0"/>
              <w:bottom w:val="nil"/>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理工类</w:t>
            </w:r>
          </w:p>
        </w:tc>
        <w:tc>
          <w:tcPr>
            <w:tcW w:w="32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工程测量技术、地籍测绘与土地管理、材料工程技术、建筑设计、建筑装饰工程技术、古建筑工程技术、风景园林设计、园林工程技术、建筑动画与模型制作、建筑工程技术、地下与隧道工程技术、建筑钢结构工程技术、建设工程管理、工程造价、建筑经济管理、建设项目信息化管理、建设工程监理、市政工程技术、给排水工程技术、房地产经营与管理、房地产检测与估价、水利工程、水利水电工程管理、水利水电建筑工程、机械设计与制造、机械制造与自动化、精密机械技术、材料成型与控制技术、机械产品检测检验技术、铁道工程技术、道路桥梁工程技术、道路运输与路政管理、道路养护与管理。</w:t>
            </w:r>
          </w:p>
        </w:tc>
      </w:tr>
      <w:tr>
        <w:tblPrEx>
          <w:tblCellMar>
            <w:top w:w="0" w:type="dxa"/>
            <w:left w:w="108" w:type="dxa"/>
            <w:bottom w:w="0" w:type="dxa"/>
            <w:right w:w="108" w:type="dxa"/>
          </w:tblCellMar>
        </w:tblPrEx>
        <w:trPr>
          <w:trHeight w:val="320"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eastAsia="宋体" w:cs="宋体"/>
                <w:color w:val="000000"/>
                <w:szCs w:val="21"/>
              </w:rPr>
            </w:pPr>
          </w:p>
        </w:tc>
        <w:tc>
          <w:tcPr>
            <w:tcW w:w="28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工程管理</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理工类</w:t>
            </w:r>
          </w:p>
        </w:tc>
        <w:tc>
          <w:tcPr>
            <w:tcW w:w="32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理工类、经管类皆可</w:t>
            </w:r>
          </w:p>
        </w:tc>
      </w:tr>
      <w:tr>
        <w:tblPrEx>
          <w:tblCellMar>
            <w:top w:w="0" w:type="dxa"/>
            <w:left w:w="108" w:type="dxa"/>
            <w:bottom w:w="0" w:type="dxa"/>
            <w:right w:w="108" w:type="dxa"/>
          </w:tblCellMar>
        </w:tblPrEx>
        <w:trPr>
          <w:trHeight w:val="320"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eastAsia="宋体" w:cs="宋体"/>
                <w:color w:val="000000"/>
                <w:szCs w:val="21"/>
              </w:rPr>
            </w:pPr>
          </w:p>
        </w:tc>
        <w:tc>
          <w:tcPr>
            <w:tcW w:w="28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ascii="宋体" w:hAnsi="宋体" w:eastAsia="宋体" w:cs="宋体"/>
                <w:color w:val="000000"/>
                <w:szCs w:val="21"/>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经管类</w:t>
            </w:r>
          </w:p>
        </w:tc>
        <w:tc>
          <w:tcPr>
            <w:tcW w:w="3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left"/>
              <w:rPr>
                <w:rFonts w:ascii="宋体" w:hAnsi="宋体" w:eastAsia="宋体" w:cs="宋体"/>
                <w:color w:val="000000"/>
                <w:szCs w:val="21"/>
              </w:rPr>
            </w:pPr>
          </w:p>
        </w:tc>
      </w:tr>
      <w:tr>
        <w:tblPrEx>
          <w:tblCellMar>
            <w:top w:w="0" w:type="dxa"/>
            <w:left w:w="108" w:type="dxa"/>
            <w:bottom w:w="0" w:type="dxa"/>
            <w:right w:w="108" w:type="dxa"/>
          </w:tblCellMar>
        </w:tblPrEx>
        <w:trPr>
          <w:trHeight w:val="1933"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eastAsia="宋体" w:cs="宋体"/>
                <w:color w:val="000000"/>
                <w:szCs w:val="21"/>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建筑学</w:t>
            </w:r>
          </w:p>
        </w:tc>
        <w:tc>
          <w:tcPr>
            <w:tcW w:w="1005" w:type="dxa"/>
            <w:tcBorders>
              <w:top w:val="nil"/>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理工类</w:t>
            </w:r>
          </w:p>
        </w:tc>
        <w:tc>
          <w:tcPr>
            <w:tcW w:w="32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工程测量技术、地籍测绘与土地管理、工程安全评价与监理、建筑设计、建筑装饰工程技术、古建筑工程技术、风景园林设计、园林工程技术、建筑动画与模型制作、城乡规划、城市信息化管理、建筑工程技术、地下与隧道工程技术、建筑钢结构工程技术、建筑设备工程技术、供热通风与空调工程技术、建筑电气工程技术、建筑智能化工程技术、消防工程技术、建设工程管理、工程造价、建筑经济管理、建设项目信息化管理、建设工程监理、市政工程技术、给排水工程技术、房地产经营与管理、房地产检测与估价、水利工程、水利水电工程管理、水利水电建筑工程、机械设计与制造、工业设计、包装策划与设计、纺织品设计、服装设计与工艺、铁道工程技术、道路桥梁工程技术、视觉传播设计与制作、数字媒体艺术设计。</w:t>
            </w:r>
          </w:p>
        </w:tc>
      </w:tr>
      <w:tr>
        <w:tblPrEx>
          <w:tblCellMar>
            <w:top w:w="0" w:type="dxa"/>
            <w:left w:w="108" w:type="dxa"/>
            <w:bottom w:w="0" w:type="dxa"/>
            <w:right w:w="108" w:type="dxa"/>
          </w:tblCellMar>
        </w:tblPrEx>
        <w:trPr>
          <w:trHeight w:val="320" w:hRule="atLeast"/>
        </w:trPr>
        <w:tc>
          <w:tcPr>
            <w:tcW w:w="1311"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信息与控制学院</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电子信息工程</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理工类</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理工类皆可</w:t>
            </w:r>
          </w:p>
        </w:tc>
      </w:tr>
      <w:tr>
        <w:tblPrEx>
          <w:tblCellMar>
            <w:top w:w="0" w:type="dxa"/>
            <w:left w:w="108" w:type="dxa"/>
            <w:bottom w:w="0" w:type="dxa"/>
            <w:right w:w="108" w:type="dxa"/>
          </w:tblCellMar>
        </w:tblPrEx>
        <w:trPr>
          <w:trHeight w:val="320" w:hRule="atLeast"/>
        </w:trPr>
        <w:tc>
          <w:tcPr>
            <w:tcW w:w="1311" w:type="dxa"/>
            <w:vMerge w:val="continue"/>
            <w:tcBorders>
              <w:top w:val="single" w:color="000000" w:sz="4" w:space="0"/>
              <w:left w:val="single" w:color="000000" w:sz="4" w:space="0"/>
              <w:bottom w:val="nil"/>
              <w:right w:val="single" w:color="000000" w:sz="4" w:space="0"/>
            </w:tcBorders>
            <w:shd w:val="clear" w:color="auto" w:fill="auto"/>
            <w:vAlign w:val="center"/>
          </w:tcPr>
          <w:p>
            <w:pPr>
              <w:spacing w:line="360" w:lineRule="auto"/>
              <w:jc w:val="center"/>
              <w:rPr>
                <w:rFonts w:ascii="宋体" w:hAnsi="宋体" w:eastAsia="宋体" w:cs="宋体"/>
                <w:color w:val="000000"/>
                <w:szCs w:val="21"/>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计算机科学与技术</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理工类</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理工类皆可</w:t>
            </w:r>
          </w:p>
        </w:tc>
      </w:tr>
      <w:tr>
        <w:tblPrEx>
          <w:tblCellMar>
            <w:top w:w="0" w:type="dxa"/>
            <w:left w:w="108" w:type="dxa"/>
            <w:bottom w:w="0" w:type="dxa"/>
            <w:right w:w="108" w:type="dxa"/>
          </w:tblCellMar>
        </w:tblPrEx>
        <w:trPr>
          <w:trHeight w:val="285" w:hRule="atLeast"/>
        </w:trPr>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艺术与设计学院</w:t>
            </w: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产品设计（产品、家居用品）</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艺术类</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艺术类皆可</w:t>
            </w:r>
          </w:p>
        </w:tc>
      </w:tr>
      <w:tr>
        <w:tblPrEx>
          <w:tblCellMar>
            <w:top w:w="0" w:type="dxa"/>
            <w:left w:w="108" w:type="dxa"/>
            <w:bottom w:w="0" w:type="dxa"/>
            <w:right w:w="108" w:type="dxa"/>
          </w:tblCellMar>
        </w:tblPrEx>
        <w:trPr>
          <w:trHeight w:val="285"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eastAsia="宋体" w:cs="宋体"/>
                <w:color w:val="000000"/>
                <w:szCs w:val="21"/>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视觉传达设计</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艺术类</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艺术类皆可</w:t>
            </w:r>
          </w:p>
        </w:tc>
      </w:tr>
      <w:tr>
        <w:tblPrEx>
          <w:tblCellMar>
            <w:top w:w="0" w:type="dxa"/>
            <w:left w:w="108" w:type="dxa"/>
            <w:bottom w:w="0" w:type="dxa"/>
            <w:right w:w="108" w:type="dxa"/>
          </w:tblCellMar>
        </w:tblPrEx>
        <w:trPr>
          <w:trHeight w:val="285"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eastAsia="宋体" w:cs="宋体"/>
                <w:color w:val="000000"/>
                <w:szCs w:val="21"/>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数字媒体艺术</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艺术类</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艺术类皆可</w:t>
            </w:r>
          </w:p>
        </w:tc>
      </w:tr>
      <w:tr>
        <w:tblPrEx>
          <w:tblCellMar>
            <w:top w:w="0" w:type="dxa"/>
            <w:left w:w="108" w:type="dxa"/>
            <w:bottom w:w="0" w:type="dxa"/>
            <w:right w:w="108" w:type="dxa"/>
          </w:tblCellMar>
        </w:tblPrEx>
        <w:trPr>
          <w:trHeight w:val="285"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eastAsia="宋体" w:cs="宋体"/>
                <w:color w:val="000000"/>
                <w:szCs w:val="21"/>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动画</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艺术类</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艺术类皆可</w:t>
            </w:r>
          </w:p>
        </w:tc>
      </w:tr>
      <w:tr>
        <w:tblPrEx>
          <w:tblCellMar>
            <w:top w:w="0" w:type="dxa"/>
            <w:left w:w="108" w:type="dxa"/>
            <w:bottom w:w="0" w:type="dxa"/>
            <w:right w:w="108" w:type="dxa"/>
          </w:tblCellMar>
        </w:tblPrEx>
        <w:trPr>
          <w:trHeight w:val="285"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ascii="宋体" w:hAnsi="宋体" w:eastAsia="宋体" w:cs="宋体"/>
                <w:color w:val="000000"/>
                <w:szCs w:val="21"/>
              </w:rPr>
            </w:pPr>
          </w:p>
        </w:tc>
        <w:tc>
          <w:tcPr>
            <w:tcW w:w="2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环境设计</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艺术类</w:t>
            </w:r>
          </w:p>
        </w:tc>
        <w:tc>
          <w:tcPr>
            <w:tcW w:w="3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艺术类皆可</w:t>
            </w:r>
          </w:p>
        </w:tc>
      </w:tr>
    </w:tbl>
    <w:p>
      <w:pPr>
        <w:pStyle w:val="2"/>
        <w:shd w:val="clear" w:color="auto" w:fill="FFFFFF"/>
        <w:wordWrap w:val="0"/>
        <w:spacing w:before="0" w:beforeAutospacing="0" w:after="0" w:afterAutospacing="0" w:line="360" w:lineRule="auto"/>
        <w:jc w:val="center"/>
        <w:textAlignment w:val="baseline"/>
        <w:rPr>
          <w:rStyle w:val="5"/>
          <w:color w:val="000000" w:themeColor="text1"/>
          <w14:textFill>
            <w14:solidFill>
              <w14:schemeClr w14:val="tx1"/>
            </w14:solidFill>
          </w14:textFill>
        </w:rPr>
      </w:pPr>
    </w:p>
    <w:p>
      <w:pPr>
        <w:pStyle w:val="2"/>
        <w:shd w:val="clear" w:color="auto" w:fill="FFFFFF"/>
        <w:wordWrap w:val="0"/>
        <w:adjustRightInd w:val="0"/>
        <w:snapToGrid w:val="0"/>
        <w:spacing w:before="0" w:beforeAutospacing="0" w:after="0" w:afterAutospacing="0" w:line="560" w:lineRule="exact"/>
        <w:ind w:firstLine="602" w:firstLineChars="200"/>
        <w:jc w:val="center"/>
        <w:textAlignment w:val="baseline"/>
        <w:rPr>
          <w:rFonts w:ascii="仿宋_GB2312" w:hAnsi="仿宋_GB2312" w:eastAsia="仿宋_GB2312" w:cs="仿宋_GB2312"/>
          <w:color w:val="000000" w:themeColor="text1"/>
          <w:sz w:val="30"/>
          <w:szCs w:val="30"/>
          <w14:textFill>
            <w14:solidFill>
              <w14:schemeClr w14:val="tx1"/>
            </w14:solidFill>
          </w14:textFill>
        </w:rPr>
      </w:pPr>
      <w:r>
        <w:rPr>
          <w:rStyle w:val="5"/>
          <w:rFonts w:hint="eastAsia" w:ascii="仿宋_GB2312" w:hAnsi="仿宋_GB2312" w:eastAsia="仿宋_GB2312" w:cs="仿宋_GB2312"/>
          <w:color w:val="000000" w:themeColor="text1"/>
          <w:sz w:val="30"/>
          <w:szCs w:val="30"/>
          <w14:textFill>
            <w14:solidFill>
              <w14:schemeClr w14:val="tx1"/>
            </w14:solidFill>
          </w14:textFill>
        </w:rPr>
        <w:t>第四章  录取与测试规则</w:t>
      </w:r>
    </w:p>
    <w:p>
      <w:pPr>
        <w:pStyle w:val="2"/>
        <w:shd w:val="clear" w:color="auto" w:fill="FFFFFF"/>
        <w:wordWrap w:val="0"/>
        <w:adjustRightInd w:val="0"/>
        <w:snapToGrid w:val="0"/>
        <w:spacing w:before="0" w:beforeAutospacing="0" w:after="0" w:afterAutospacing="0" w:line="560" w:lineRule="exact"/>
        <w:ind w:firstLine="600" w:firstLineChars="200"/>
        <w:textAlignment w:val="baseline"/>
        <w:rPr>
          <w:rFonts w:ascii="仿宋_GB2312" w:hAnsi="仿宋_GB2312" w:eastAsia="仿宋_GB2312" w:cs="仿宋_GB2312"/>
          <w:color w:val="000000" w:themeColor="text1"/>
          <w:sz w:val="30"/>
          <w:szCs w:val="30"/>
          <w14:textFill>
            <w14:solidFill>
              <w14:schemeClr w14:val="tx1"/>
            </w14:solidFill>
          </w14:textFill>
        </w:rPr>
      </w:pPr>
      <w:r>
        <w:rPr>
          <w:rStyle w:val="5"/>
          <w:rFonts w:hint="eastAsia" w:ascii="仿宋_GB2312" w:hAnsi="仿宋_GB2312" w:eastAsia="仿宋_GB2312" w:cs="仿宋_GB2312"/>
          <w:b w:val="0"/>
          <w:color w:val="000000" w:themeColor="text1"/>
          <w:sz w:val="30"/>
          <w:szCs w:val="30"/>
          <w14:textFill>
            <w14:solidFill>
              <w14:schemeClr w14:val="tx1"/>
            </w14:solidFill>
          </w14:textFill>
        </w:rPr>
        <w:t>第九条  学校招生</w:t>
      </w:r>
      <w:r>
        <w:rPr>
          <w:rFonts w:hint="eastAsia" w:ascii="仿宋_GB2312" w:hAnsi="仿宋_GB2312" w:eastAsia="仿宋_GB2312" w:cs="仿宋_GB2312"/>
          <w:color w:val="000000" w:themeColor="text1"/>
          <w:sz w:val="30"/>
          <w:szCs w:val="30"/>
          <w14:textFill>
            <w14:solidFill>
              <w14:schemeClr w14:val="tx1"/>
            </w14:solidFill>
          </w14:textFill>
        </w:rPr>
        <w:t>录取工作贯彻公开、公平、公正原则，实行“招生高校负责、省教育考试院监督”体制。</w:t>
      </w:r>
    </w:p>
    <w:p>
      <w:pPr>
        <w:pStyle w:val="2"/>
        <w:shd w:val="clear" w:color="auto" w:fill="FFFFFF"/>
        <w:wordWrap w:val="0"/>
        <w:adjustRightInd w:val="0"/>
        <w:snapToGrid w:val="0"/>
        <w:spacing w:before="0" w:beforeAutospacing="0" w:after="0" w:afterAutospacing="0" w:line="560" w:lineRule="exact"/>
        <w:ind w:firstLine="600" w:firstLineChars="200"/>
        <w:textAlignment w:val="baseline"/>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第十条  学校各轮次的录取与测试规则如下：当该轮次志愿报考人数小于或等于学校某个招生专业该轮次的计划数时，学校将不组织综合测试，全部予以录取。并根据录取结果，扣减相应的招生专业计划数，剩余计划自动转入下一轮次录取。当该轮次志愿报考人数大于学校某个招生专业该轮次的计划数时，学校将优先直接录取荣立三等功及以上荣誉的考生（该类考生免于综合测试），该专业招生计划数根据其录取结果做相应扣减，剩余考生学校将组织综合测试，学校根据测试成绩对考生进行排序，按照剩余专业计划数1:1，遵循“分数优先，志愿平行”的原则择优录取，直至录取满额（同分带入）。专业志愿间不设级差，考生高职高专阶段所学专业须符合所报专业志愿的限报专业要求。后续轮次录取规则同上，直至第三志愿录取结束。</w:t>
      </w:r>
    </w:p>
    <w:p>
      <w:pPr>
        <w:adjustRightInd w:val="0"/>
        <w:snapToGrid w:val="0"/>
        <w:spacing w:line="560" w:lineRule="exact"/>
        <w:ind w:firstLine="600" w:firstLineChars="200"/>
        <w:jc w:val="left"/>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第十一条  学校将根据省教育考试院提供的各轮次志愿填报名单，根据录取与测试规则，需要组织综合测试的，将在学校招生网站发布测试公告</w:t>
      </w:r>
      <w:r>
        <w:rPr>
          <w:rFonts w:hint="eastAsia" w:ascii="仿宋_GB2312" w:hAnsi="仿宋_GB2312" w:eastAsia="仿宋_GB2312" w:cs="仿宋_GB2312"/>
          <w:b/>
          <w:color w:val="000000" w:themeColor="text1"/>
          <w:sz w:val="30"/>
          <w:szCs w:val="30"/>
          <w:u w:val="none"/>
          <w14:textFill>
            <w14:solidFill>
              <w14:schemeClr w14:val="tx1"/>
            </w14:solidFill>
          </w14:textFill>
        </w:rPr>
        <w:t xml:space="preserve"> </w:t>
      </w:r>
      <w:r>
        <w:rPr>
          <w:u w:val="none"/>
        </w:rPr>
        <w:fldChar w:fldCharType="begin"/>
      </w:r>
      <w:r>
        <w:rPr>
          <w:u w:val="none"/>
        </w:rPr>
        <w:instrText xml:space="preserve"> HYPERLINK "http://zs.ky.zstu.edu.cn/index.htm" </w:instrText>
      </w:r>
      <w:r>
        <w:rPr>
          <w:u w:val="none"/>
        </w:rPr>
        <w:fldChar w:fldCharType="separate"/>
      </w:r>
      <w:r>
        <w:rPr>
          <w:rStyle w:val="6"/>
          <w:rFonts w:hint="eastAsia" w:ascii="仿宋_GB2312" w:hAnsi="仿宋_GB2312" w:eastAsia="仿宋_GB2312" w:cs="仿宋_GB2312"/>
          <w:color w:val="000000" w:themeColor="text1"/>
          <w:kern w:val="0"/>
          <w:sz w:val="30"/>
          <w:szCs w:val="30"/>
          <w:u w:val="none"/>
          <w14:textFill>
            <w14:solidFill>
              <w14:schemeClr w14:val="tx1"/>
            </w14:solidFill>
          </w14:textFill>
        </w:rPr>
        <w:t>http://zs.ky.zstu.edu.cn/index.htm</w:t>
      </w:r>
      <w:r>
        <w:rPr>
          <w:rStyle w:val="6"/>
          <w:rFonts w:hint="eastAsia" w:ascii="仿宋_GB2312" w:hAnsi="仿宋_GB2312" w:eastAsia="仿宋_GB2312" w:cs="仿宋_GB2312"/>
          <w:color w:val="000000" w:themeColor="text1"/>
          <w:kern w:val="0"/>
          <w:sz w:val="30"/>
          <w:szCs w:val="30"/>
          <w:u w:val="none"/>
          <w14:textFill>
            <w14:solidFill>
              <w14:schemeClr w14:val="tx1"/>
            </w14:solidFill>
          </w14:textFill>
        </w:rPr>
        <w:fldChar w:fldCharType="end"/>
      </w:r>
      <w:r>
        <w:rPr>
          <w:rFonts w:hint="eastAsia" w:ascii="仿宋_GB2312" w:hAnsi="仿宋_GB2312" w:eastAsia="仿宋_GB2312" w:cs="仿宋_GB2312"/>
          <w:color w:val="000000" w:themeColor="text1"/>
          <w:sz w:val="30"/>
          <w:szCs w:val="30"/>
          <w14:textFill>
            <w14:solidFill>
              <w14:schemeClr w14:val="tx1"/>
            </w14:solidFill>
          </w14:textFill>
        </w:rPr>
        <w:t>，请报名考生及时关注，并按时打印测试通知单，未参加测试的考生不能进入后续的录取环节。综合测试采用结构化面试，学校不收取测试费用。</w:t>
      </w:r>
    </w:p>
    <w:p>
      <w:pPr>
        <w:shd w:val="clear" w:color="auto" w:fill="FFFFFF"/>
        <w:adjustRightInd w:val="0"/>
        <w:snapToGrid w:val="0"/>
        <w:spacing w:line="560" w:lineRule="exac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第十二条</w:t>
      </w:r>
      <w:r>
        <w:rPr>
          <w:rFonts w:hint="eastAsia" w:ascii="仿宋_GB2312" w:hAnsi="仿宋_GB2312" w:eastAsia="仿宋_GB2312" w:cs="仿宋_GB2312"/>
          <w:b/>
          <w:bCs/>
          <w:color w:val="000000" w:themeColor="text1"/>
          <w:kern w:val="0"/>
          <w:sz w:val="30"/>
          <w:szCs w:val="30"/>
          <w14:textFill>
            <w14:solidFill>
              <w14:schemeClr w14:val="tx1"/>
            </w14:solidFill>
          </w14:textFill>
        </w:rPr>
        <w:t xml:space="preserve">  </w:t>
      </w:r>
      <w:r>
        <w:rPr>
          <w:rFonts w:hint="eastAsia" w:ascii="仿宋_GB2312" w:hAnsi="仿宋_GB2312" w:eastAsia="仿宋_GB2312" w:cs="仿宋_GB2312"/>
          <w:color w:val="000000" w:themeColor="text1"/>
          <w:kern w:val="0"/>
          <w:sz w:val="30"/>
          <w:szCs w:val="30"/>
          <w14:textFill>
            <w14:solidFill>
              <w14:schemeClr w14:val="tx1"/>
            </w14:solidFill>
          </w14:textFill>
        </w:rPr>
        <w:t>学校退役大学生士兵免试招生工作时间安排：</w:t>
      </w:r>
    </w:p>
    <w:p>
      <w:pPr>
        <w:shd w:val="clear" w:color="auto" w:fill="FFFFFF"/>
        <w:adjustRightInd w:val="0"/>
        <w:snapToGrid w:val="0"/>
        <w:spacing w:line="560" w:lineRule="exac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一、公布测试名单：2022年3月1日；</w:t>
      </w:r>
    </w:p>
    <w:p>
      <w:pPr>
        <w:shd w:val="clear" w:color="auto" w:fill="FFFFFF"/>
        <w:adjustRightInd w:val="0"/>
        <w:snapToGrid w:val="0"/>
        <w:spacing w:line="560" w:lineRule="exact"/>
        <w:ind w:firstLine="600" w:firstLineChars="200"/>
        <w:rPr>
          <w:rFonts w:ascii="仿宋_GB2312" w:hAnsi="仿宋_GB2312" w:eastAsia="仿宋_GB2312" w:cs="仿宋_GB2312"/>
          <w:color w:val="000000" w:themeColor="text1"/>
          <w:kern w:val="0"/>
          <w:sz w:val="30"/>
          <w:szCs w:val="30"/>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二、综合测试：2022年3月12日（二、三志愿测试时间如有需要则另行公告）；</w:t>
      </w:r>
    </w:p>
    <w:p>
      <w:pPr>
        <w:pStyle w:val="2"/>
        <w:shd w:val="clear" w:color="auto" w:fill="FFFFFF"/>
        <w:wordWrap w:val="0"/>
        <w:adjustRightInd w:val="0"/>
        <w:snapToGrid w:val="0"/>
        <w:spacing w:before="0" w:beforeAutospacing="0" w:after="0" w:afterAutospacing="0" w:line="560" w:lineRule="exact"/>
        <w:ind w:firstLine="600" w:firstLineChars="200"/>
        <w:textAlignment w:val="baseline"/>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第十三条  学校对该轮次所填专业志愿均不能满足的考生，作退档处理。</w:t>
      </w:r>
    </w:p>
    <w:p>
      <w:pPr>
        <w:pStyle w:val="2"/>
        <w:shd w:val="clear" w:color="auto" w:fill="FFFFFF"/>
        <w:wordWrap w:val="0"/>
        <w:adjustRightInd w:val="0"/>
        <w:snapToGrid w:val="0"/>
        <w:spacing w:before="0" w:beforeAutospacing="0" w:after="0" w:afterAutospacing="0" w:line="560" w:lineRule="exact"/>
        <w:ind w:firstLine="600" w:firstLineChars="200"/>
        <w:textAlignment w:val="baseline"/>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第十四条  对非应届考生，学校将在4月中旬前在学校招生网站公布正式录取结果，并寄发录取通知书。对学校招生网站公布的预录取的应届毕业生，由考生现就读学校于7月5日前完成高职（专科）毕业资格审核确认，并报浙江省教育厅职成教处复核，我校按审核通过的名单办理录取手续，寄发录取通知书；不能如期毕业的取消录取资格。</w:t>
      </w:r>
    </w:p>
    <w:p>
      <w:pPr>
        <w:pStyle w:val="2"/>
        <w:shd w:val="clear" w:color="auto" w:fill="FFFFFF"/>
        <w:wordWrap w:val="0"/>
        <w:adjustRightInd w:val="0"/>
        <w:snapToGrid w:val="0"/>
        <w:spacing w:before="0" w:beforeAutospacing="0" w:after="0" w:afterAutospacing="0" w:line="560" w:lineRule="exact"/>
        <w:ind w:firstLine="600" w:firstLineChars="200"/>
        <w:textAlignment w:val="baseline"/>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第十五条  已被我校免试专升本录取的不再参加后续普通高校专升本选拔考试录取。</w:t>
      </w:r>
    </w:p>
    <w:p>
      <w:pPr>
        <w:adjustRightInd w:val="0"/>
        <w:snapToGrid w:val="0"/>
        <w:spacing w:line="560" w:lineRule="exact"/>
        <w:ind w:firstLine="600" w:firstLineChars="20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rPr>
        <w:t>第十六条  凡被我校录取后未报到或自行放弃入学资格的考生，根据省教育厅要求此后不再享受免试政策。</w:t>
      </w:r>
    </w:p>
    <w:p>
      <w:pPr>
        <w:pStyle w:val="2"/>
        <w:shd w:val="clear" w:color="auto" w:fill="FFFFFF"/>
        <w:wordWrap w:val="0"/>
        <w:adjustRightInd w:val="0"/>
        <w:snapToGrid w:val="0"/>
        <w:spacing w:before="0" w:beforeAutospacing="0" w:after="0" w:afterAutospacing="0" w:line="560" w:lineRule="exact"/>
        <w:ind w:firstLine="602" w:firstLineChars="200"/>
        <w:jc w:val="center"/>
        <w:textAlignment w:val="baseline"/>
        <w:rPr>
          <w:rStyle w:val="5"/>
          <w:rFonts w:ascii="仿宋_GB2312" w:hAnsi="仿宋_GB2312" w:eastAsia="仿宋_GB2312" w:cs="仿宋_GB2312"/>
          <w:color w:val="000000"/>
          <w:sz w:val="30"/>
          <w:szCs w:val="30"/>
        </w:rPr>
      </w:pPr>
      <w:r>
        <w:rPr>
          <w:rStyle w:val="5"/>
          <w:rFonts w:hint="eastAsia" w:ascii="仿宋_GB2312" w:hAnsi="仿宋_GB2312" w:eastAsia="仿宋_GB2312" w:cs="仿宋_GB2312"/>
          <w:color w:val="000000"/>
          <w:sz w:val="30"/>
          <w:szCs w:val="30"/>
        </w:rPr>
        <w:t>第五章  学籍管理与入学复查</w:t>
      </w:r>
    </w:p>
    <w:p>
      <w:pPr>
        <w:adjustRightInd w:val="0"/>
        <w:snapToGrid w:val="0"/>
        <w:spacing w:line="560" w:lineRule="exact"/>
        <w:ind w:firstLine="600" w:firstLineChars="200"/>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第十七条  学籍管理</w:t>
      </w:r>
    </w:p>
    <w:p>
      <w:pPr>
        <w:shd w:val="clear" w:color="auto" w:fill="FFFFFF"/>
        <w:adjustRightInd w:val="0"/>
        <w:snapToGrid w:val="0"/>
        <w:spacing w:line="560" w:lineRule="exact"/>
        <w:ind w:firstLine="600" w:firstLineChars="200"/>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新生凭“录取通知书”、退役证件、普通高校高职（专科）毕业证书原件、身份证、</w:t>
      </w:r>
      <w:r>
        <w:rPr>
          <w:rFonts w:hint="eastAsia" w:ascii="仿宋_GB2312" w:hAnsi="仿宋_GB2312" w:eastAsia="仿宋_GB2312" w:cs="仿宋_GB2312"/>
          <w:color w:val="000000"/>
          <w:sz w:val="30"/>
          <w:szCs w:val="30"/>
        </w:rPr>
        <w:t>三等功及以上荣誉证书原件</w:t>
      </w:r>
      <w:r>
        <w:rPr>
          <w:rFonts w:hint="eastAsia" w:ascii="仿宋_GB2312" w:hAnsi="仿宋_GB2312" w:eastAsia="仿宋_GB2312" w:cs="仿宋_GB2312"/>
          <w:color w:val="000000"/>
          <w:kern w:val="0"/>
          <w:sz w:val="30"/>
          <w:szCs w:val="30"/>
        </w:rPr>
        <w:t>在规定的时间内办理报到注册。专升本学生为全日制普通高等学校学生，学制两年。新生可凭“录取通知书”办理户籍迁移手续。入学后不允许转学、转专业。学费按升入学校同届学生收费标准执行。毕业时颁发全日制普通本科毕业证书，符合学位授予条件的授予学士学位。</w:t>
      </w:r>
    </w:p>
    <w:p>
      <w:pPr>
        <w:adjustRightInd w:val="0"/>
        <w:snapToGrid w:val="0"/>
        <w:spacing w:line="560" w:lineRule="exact"/>
        <w:ind w:firstLine="600" w:firstLineChars="200"/>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第十八条  入学资格复查</w:t>
      </w:r>
    </w:p>
    <w:p>
      <w:pPr>
        <w:adjustRightInd w:val="0"/>
        <w:snapToGrid w:val="0"/>
        <w:spacing w:line="560" w:lineRule="exact"/>
        <w:ind w:firstLine="600" w:firstLineChars="20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rPr>
        <w:t>新生入学后，学校将进行全面复查，对不符合报考条件、报到条件和录取标准以及弄虚作假、违纪舞弊者，取消其入学资格，并报省教育考试院备案。</w:t>
      </w:r>
    </w:p>
    <w:p>
      <w:pPr>
        <w:pStyle w:val="2"/>
        <w:shd w:val="clear" w:color="auto" w:fill="FFFFFF"/>
        <w:wordWrap w:val="0"/>
        <w:adjustRightInd w:val="0"/>
        <w:snapToGrid w:val="0"/>
        <w:spacing w:before="0" w:beforeAutospacing="0" w:after="0" w:afterAutospacing="0" w:line="560" w:lineRule="exact"/>
        <w:ind w:firstLine="602" w:firstLineChars="200"/>
        <w:jc w:val="center"/>
        <w:textAlignment w:val="baseline"/>
        <w:rPr>
          <w:rStyle w:val="5"/>
          <w:rFonts w:ascii="仿宋_GB2312" w:hAnsi="仿宋_GB2312" w:eastAsia="仿宋_GB2312" w:cs="仿宋_GB2312"/>
          <w:color w:val="000000"/>
          <w:sz w:val="30"/>
          <w:szCs w:val="30"/>
        </w:rPr>
      </w:pPr>
      <w:r>
        <w:rPr>
          <w:rStyle w:val="5"/>
          <w:rFonts w:hint="eastAsia" w:ascii="仿宋_GB2312" w:hAnsi="仿宋_GB2312" w:eastAsia="仿宋_GB2312" w:cs="仿宋_GB2312"/>
          <w:color w:val="000000"/>
          <w:sz w:val="30"/>
          <w:szCs w:val="30"/>
        </w:rPr>
        <w:t>第六章  附  则</w:t>
      </w:r>
    </w:p>
    <w:p>
      <w:pPr>
        <w:adjustRightInd w:val="0"/>
        <w:snapToGrid w:val="0"/>
        <w:spacing w:line="560" w:lineRule="exact"/>
        <w:ind w:firstLine="600" w:firstLineChars="200"/>
        <w:jc w:val="left"/>
        <w:rPr>
          <w:rStyle w:val="5"/>
          <w:rFonts w:ascii="仿宋_GB2312" w:hAnsi="仿宋_GB2312" w:eastAsia="仿宋_GB2312" w:cs="仿宋_GB2312"/>
          <w:color w:val="000000"/>
          <w:sz w:val="30"/>
          <w:szCs w:val="30"/>
        </w:rPr>
      </w:pPr>
      <w:r>
        <w:rPr>
          <w:rFonts w:hint="eastAsia" w:ascii="仿宋_GB2312" w:hAnsi="仿宋_GB2312" w:eastAsia="仿宋_GB2312" w:cs="仿宋_GB2312"/>
          <w:color w:val="000000"/>
          <w:kern w:val="0"/>
          <w:sz w:val="30"/>
          <w:szCs w:val="30"/>
        </w:rPr>
        <w:t>第十九条</w:t>
      </w:r>
      <w:r>
        <w:rPr>
          <w:rFonts w:hint="eastAsia" w:ascii="仿宋_GB2312" w:hAnsi="仿宋_GB2312" w:eastAsia="仿宋_GB2312" w:cs="仿宋_GB2312"/>
          <w:b/>
          <w:bCs/>
          <w:color w:val="000000"/>
          <w:kern w:val="0"/>
          <w:sz w:val="30"/>
          <w:szCs w:val="30"/>
        </w:rPr>
        <w:t xml:space="preserve">  </w:t>
      </w:r>
      <w:r>
        <w:rPr>
          <w:rFonts w:hint="eastAsia" w:ascii="仿宋_GB2312" w:hAnsi="仿宋_GB2312" w:eastAsia="仿宋_GB2312" w:cs="仿宋_GB2312"/>
          <w:color w:val="000000"/>
          <w:kern w:val="0"/>
          <w:sz w:val="30"/>
          <w:szCs w:val="30"/>
        </w:rPr>
        <w:t>学费收费严格按照浙江省价格主管部门批准或备案的标准执行。学校实行学分制收费办法，新生入</w:t>
      </w:r>
      <w:bookmarkStart w:id="0" w:name="_GoBack"/>
      <w:bookmarkEnd w:id="0"/>
      <w:r>
        <w:rPr>
          <w:rFonts w:hint="eastAsia" w:ascii="仿宋_GB2312" w:hAnsi="仿宋_GB2312" w:eastAsia="仿宋_GB2312" w:cs="仿宋_GB2312"/>
          <w:color w:val="000000"/>
          <w:kern w:val="0"/>
          <w:sz w:val="30"/>
          <w:szCs w:val="30"/>
        </w:rPr>
        <w:t>学时按学年制学费标准预交学费，</w:t>
      </w:r>
      <w:r>
        <w:rPr>
          <w:rFonts w:hint="eastAsia" w:ascii="仿宋_GB2312" w:hAnsi="仿宋_GB2312" w:eastAsia="仿宋_GB2312" w:cs="仿宋_GB2312"/>
          <w:kern w:val="0"/>
          <w:sz w:val="30"/>
          <w:szCs w:val="30"/>
        </w:rPr>
        <w:t>住宿费按浙江省物价主管部门相关文件标准执行。</w:t>
      </w:r>
    </w:p>
    <w:p>
      <w:pPr>
        <w:pStyle w:val="2"/>
        <w:widowControl w:val="0"/>
        <w:shd w:val="clear" w:color="auto" w:fill="FFFFFF"/>
        <w:wordWrap w:val="0"/>
        <w:adjustRightInd w:val="0"/>
        <w:snapToGrid w:val="0"/>
        <w:spacing w:before="0" w:beforeAutospacing="0" w:after="0" w:afterAutospacing="0" w:line="560" w:lineRule="exact"/>
        <w:ind w:firstLine="600" w:firstLineChars="200"/>
        <w:textAlignment w:val="baseline"/>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第二十条  学校招生录取工作结束后，考生可通过省教育考试院统一途径查询录取结果，学校在招生网公布录取结果供考生查询。学校联系方式：</w:t>
      </w:r>
    </w:p>
    <w:p>
      <w:pPr>
        <w:adjustRightInd w:val="0"/>
        <w:snapToGrid w:val="0"/>
        <w:spacing w:line="560" w:lineRule="exact"/>
        <w:ind w:firstLine="600" w:firstLineChars="200"/>
        <w:jc w:val="left"/>
        <w:rPr>
          <w:rFonts w:ascii="仿宋_GB2312" w:hAnsi="仿宋_GB2312" w:eastAsia="仿宋_GB2312" w:cs="仿宋_GB2312"/>
          <w:b/>
          <w:sz w:val="30"/>
          <w:szCs w:val="30"/>
        </w:rPr>
      </w:pPr>
      <w:r>
        <w:rPr>
          <w:rFonts w:hint="eastAsia" w:ascii="仿宋_GB2312" w:hAnsi="仿宋_GB2312" w:eastAsia="仿宋_GB2312" w:cs="仿宋_GB2312"/>
          <w:color w:val="000000"/>
          <w:sz w:val="30"/>
          <w:szCs w:val="30"/>
        </w:rPr>
        <w:t>学校官方网站：</w:t>
      </w:r>
      <w:r>
        <w:rPr>
          <w:rFonts w:hint="eastAsia" w:ascii="仿宋_GB2312" w:hAnsi="仿宋_GB2312" w:eastAsia="仿宋_GB2312" w:cs="仿宋_GB2312"/>
          <w:kern w:val="0"/>
          <w:sz w:val="30"/>
          <w:szCs w:val="30"/>
        </w:rPr>
        <w:t>http://www.ky.zstu.edu.cn</w:t>
      </w:r>
    </w:p>
    <w:p>
      <w:pPr>
        <w:adjustRightInd w:val="0"/>
        <w:snapToGrid w:val="0"/>
        <w:spacing w:line="560" w:lineRule="exact"/>
        <w:ind w:firstLine="600" w:firstLineChars="200"/>
        <w:jc w:val="left"/>
        <w:rPr>
          <w:rStyle w:val="6"/>
          <w:rFonts w:hint="eastAsia" w:ascii="仿宋_GB2312" w:hAnsi="仿宋_GB2312" w:eastAsia="仿宋_GB2312" w:cs="仿宋_GB2312"/>
          <w:color w:val="000000" w:themeColor="text1"/>
          <w:kern w:val="0"/>
          <w:sz w:val="30"/>
          <w:szCs w:val="30"/>
          <w:u w:val="none"/>
          <w14:textFill>
            <w14:solidFill>
              <w14:schemeClr w14:val="tx1"/>
            </w14:solidFill>
          </w14:textFill>
        </w:rPr>
      </w:pPr>
      <w:r>
        <w:rPr>
          <w:rFonts w:hint="eastAsia" w:ascii="仿宋_GB2312" w:hAnsi="仿宋_GB2312" w:eastAsia="仿宋_GB2312" w:cs="仿宋_GB2312"/>
          <w:color w:val="000000"/>
          <w:sz w:val="30"/>
          <w:szCs w:val="30"/>
        </w:rPr>
        <w:t>学校招生网站：</w:t>
      </w:r>
      <w:r>
        <w:rPr>
          <w:rStyle w:val="6"/>
          <w:rFonts w:hint="eastAsia" w:ascii="仿宋_GB2312" w:hAnsi="仿宋_GB2312" w:eastAsia="仿宋_GB2312" w:cs="仿宋_GB2312"/>
          <w:color w:val="000000" w:themeColor="text1"/>
          <w:kern w:val="0"/>
          <w:sz w:val="30"/>
          <w:szCs w:val="30"/>
          <w:u w:val="none"/>
          <w14:textFill>
            <w14:solidFill>
              <w14:schemeClr w14:val="tx1"/>
            </w14:solidFill>
          </w14:textFill>
        </w:rPr>
        <w:fldChar w:fldCharType="begin"/>
      </w:r>
      <w:r>
        <w:rPr>
          <w:rStyle w:val="6"/>
          <w:rFonts w:hint="eastAsia" w:ascii="仿宋_GB2312" w:hAnsi="仿宋_GB2312" w:eastAsia="仿宋_GB2312" w:cs="仿宋_GB2312"/>
          <w:color w:val="000000" w:themeColor="text1"/>
          <w:kern w:val="0"/>
          <w:sz w:val="30"/>
          <w:szCs w:val="30"/>
          <w:u w:val="none"/>
          <w14:textFill>
            <w14:solidFill>
              <w14:schemeClr w14:val="tx1"/>
            </w14:solidFill>
          </w14:textFill>
        </w:rPr>
        <w:instrText xml:space="preserve"> HYPERLINK "http://zs.ky.zstu.edu.cn/index.htm" </w:instrText>
      </w:r>
      <w:r>
        <w:rPr>
          <w:rStyle w:val="6"/>
          <w:rFonts w:hint="eastAsia" w:ascii="仿宋_GB2312" w:hAnsi="仿宋_GB2312" w:eastAsia="仿宋_GB2312" w:cs="仿宋_GB2312"/>
          <w:color w:val="000000" w:themeColor="text1"/>
          <w:kern w:val="0"/>
          <w:sz w:val="30"/>
          <w:szCs w:val="30"/>
          <w:u w:val="none"/>
          <w14:textFill>
            <w14:solidFill>
              <w14:schemeClr w14:val="tx1"/>
            </w14:solidFill>
          </w14:textFill>
        </w:rPr>
        <w:fldChar w:fldCharType="separate"/>
      </w:r>
      <w:r>
        <w:rPr>
          <w:rStyle w:val="6"/>
          <w:rFonts w:hint="eastAsia" w:ascii="仿宋_GB2312" w:hAnsi="仿宋_GB2312" w:eastAsia="仿宋_GB2312" w:cs="仿宋_GB2312"/>
          <w:color w:val="000000" w:themeColor="text1"/>
          <w:kern w:val="0"/>
          <w:sz w:val="30"/>
          <w:szCs w:val="30"/>
          <w:u w:val="none"/>
          <w14:textFill>
            <w14:solidFill>
              <w14:schemeClr w14:val="tx1"/>
            </w14:solidFill>
          </w14:textFill>
        </w:rPr>
        <w:t>http://zs.ky.zstu.edu.cn/index.htm</w:t>
      </w:r>
      <w:r>
        <w:rPr>
          <w:rStyle w:val="6"/>
          <w:rFonts w:hint="eastAsia" w:ascii="仿宋_GB2312" w:hAnsi="仿宋_GB2312" w:eastAsia="仿宋_GB2312" w:cs="仿宋_GB2312"/>
          <w:color w:val="000000" w:themeColor="text1"/>
          <w:kern w:val="0"/>
          <w:sz w:val="30"/>
          <w:szCs w:val="30"/>
          <w:u w:val="none"/>
          <w14:textFill>
            <w14:solidFill>
              <w14:schemeClr w14:val="tx1"/>
            </w14:solidFill>
          </w14:textFill>
        </w:rPr>
        <w:fldChar w:fldCharType="end"/>
      </w:r>
    </w:p>
    <w:p>
      <w:pPr>
        <w:adjustRightInd w:val="0"/>
        <w:snapToGrid w:val="0"/>
        <w:spacing w:line="560" w:lineRule="exact"/>
        <w:ind w:firstLine="600" w:firstLineChars="20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招办微信公众号：浙江理工大学科艺学院招生办</w:t>
      </w:r>
    </w:p>
    <w:p>
      <w:pPr>
        <w:pStyle w:val="2"/>
        <w:widowControl w:val="0"/>
        <w:shd w:val="clear" w:color="auto" w:fill="FFFFFF"/>
        <w:wordWrap w:val="0"/>
        <w:adjustRightInd w:val="0"/>
        <w:snapToGrid w:val="0"/>
        <w:spacing w:before="0" w:beforeAutospacing="0" w:after="0" w:afterAutospacing="0" w:line="560" w:lineRule="exact"/>
        <w:ind w:firstLine="600" w:firstLineChars="200"/>
        <w:textAlignment w:val="baseline"/>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招生咨询电话：0575-82001777</w:t>
      </w:r>
    </w:p>
    <w:p>
      <w:pPr>
        <w:pStyle w:val="2"/>
        <w:widowControl w:val="0"/>
        <w:shd w:val="clear" w:color="auto" w:fill="FFFFFF"/>
        <w:wordWrap w:val="0"/>
        <w:adjustRightInd w:val="0"/>
        <w:snapToGrid w:val="0"/>
        <w:spacing w:before="0" w:beforeAutospacing="0" w:after="0" w:afterAutospacing="0" w:line="560" w:lineRule="exact"/>
        <w:ind w:firstLine="600" w:firstLineChars="200"/>
        <w:textAlignment w:val="baseline"/>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学校传真号码：0575-82005677</w:t>
      </w:r>
    </w:p>
    <w:p>
      <w:pPr>
        <w:pStyle w:val="2"/>
        <w:widowControl w:val="0"/>
        <w:shd w:val="clear" w:color="auto" w:fill="FFFFFF"/>
        <w:wordWrap w:val="0"/>
        <w:adjustRightInd w:val="0"/>
        <w:snapToGrid w:val="0"/>
        <w:spacing w:before="0" w:beforeAutospacing="0" w:after="0" w:afterAutospacing="0" w:line="560" w:lineRule="exact"/>
        <w:ind w:firstLine="600" w:firstLineChars="200"/>
        <w:textAlignment w:val="baseline"/>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学校通讯地址：浙江省绍兴市上虞区康阳大道58号。</w:t>
      </w:r>
    </w:p>
    <w:p>
      <w:pPr>
        <w:adjustRightInd w:val="0"/>
        <w:snapToGrid w:val="0"/>
        <w:spacing w:line="560" w:lineRule="exact"/>
        <w:ind w:firstLine="600" w:firstLineChars="200"/>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sz w:val="30"/>
          <w:szCs w:val="30"/>
        </w:rPr>
        <w:t>第二十一条  本章程由浙江理工大学科技与艺术学院招生办公室负责解释。若与上级有关政策和规定不一致的，以</w:t>
      </w:r>
      <w:r>
        <w:rPr>
          <w:rFonts w:hint="eastAsia" w:ascii="仿宋_GB2312" w:hAnsi="仿宋_GB2312" w:eastAsia="仿宋_GB2312" w:cs="仿宋_GB2312"/>
          <w:color w:val="000000"/>
          <w:kern w:val="0"/>
          <w:sz w:val="30"/>
          <w:szCs w:val="30"/>
        </w:rPr>
        <w:t>国家和上级有关政策为准。</w:t>
      </w:r>
    </w:p>
    <w:p>
      <w:pPr>
        <w:adjustRightInd w:val="0"/>
        <w:snapToGrid w:val="0"/>
        <w:spacing w:line="560" w:lineRule="exact"/>
        <w:ind w:firstLine="600" w:firstLineChars="200"/>
        <w:jc w:val="left"/>
        <w:rPr>
          <w:rFonts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第二十二条  招生工作监督小组对学院招生工作实施全程监督，</w:t>
      </w:r>
      <w:r>
        <w:rPr>
          <w:rFonts w:hint="eastAsia" w:ascii="仿宋_GB2312" w:hAnsi="仿宋_GB2312" w:eastAsia="仿宋_GB2312" w:cs="仿宋_GB2312"/>
          <w:kern w:val="0"/>
          <w:sz w:val="30"/>
          <w:szCs w:val="30"/>
        </w:rPr>
        <w:t>监督电话：0575-82978021</w:t>
      </w:r>
    </w:p>
    <w:p>
      <w:pPr>
        <w:pStyle w:val="2"/>
        <w:shd w:val="clear" w:color="auto" w:fill="FFFFFF"/>
        <w:wordWrap w:val="0"/>
        <w:adjustRightInd w:val="0"/>
        <w:snapToGrid w:val="0"/>
        <w:spacing w:before="0" w:beforeAutospacing="0" w:after="0" w:afterAutospacing="0" w:line="560" w:lineRule="exact"/>
        <w:ind w:firstLine="600" w:firstLineChars="200"/>
        <w:textAlignment w:val="baseline"/>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第二十三条  本章程自发布之日起执行。</w:t>
      </w:r>
    </w:p>
    <w:p>
      <w:pPr>
        <w:pStyle w:val="2"/>
        <w:shd w:val="clear" w:color="auto" w:fill="FFFFFF"/>
        <w:wordWrap w:val="0"/>
        <w:adjustRightInd w:val="0"/>
        <w:snapToGrid w:val="0"/>
        <w:spacing w:before="0" w:beforeAutospacing="0" w:after="0" w:afterAutospacing="0" w:line="560" w:lineRule="exact"/>
        <w:jc w:val="right"/>
        <w:textAlignment w:val="baseline"/>
        <w:rPr>
          <w:color w:val="000000"/>
          <w:sz w:val="28"/>
          <w:szCs w:val="28"/>
        </w:rPr>
      </w:pPr>
      <w:r>
        <w:rPr>
          <w:rFonts w:hint="eastAsia"/>
          <w:color w:val="000000"/>
          <w:sz w:val="29"/>
          <w:szCs w:val="29"/>
        </w:rPr>
        <w:t> </w:t>
      </w:r>
    </w:p>
    <w:p>
      <w:pPr>
        <w:adjustRightInd w:val="0"/>
        <w:snapToGrid w:val="0"/>
        <w:spacing w:line="560" w:lineRule="exact"/>
        <w:jc w:val="right"/>
        <w:rPr>
          <w:rFonts w:ascii="宋体" w:hAnsi="宋体" w:eastAsia="宋体" w:cs="宋体"/>
          <w:color w:val="000000"/>
          <w:sz w:val="28"/>
          <w:szCs w:val="28"/>
        </w:rPr>
      </w:pPr>
      <w:r>
        <w:rPr>
          <w:rFonts w:hint="eastAsia" w:ascii="宋体" w:hAnsi="宋体" w:eastAsia="宋体" w:cs="宋体"/>
          <w:color w:val="000000"/>
          <w:sz w:val="28"/>
          <w:szCs w:val="28"/>
        </w:rPr>
        <w:t>浙江理工大学科技与艺术学院招生办公室</w:t>
      </w:r>
    </w:p>
    <w:p>
      <w:pPr>
        <w:wordWrap w:val="0"/>
        <w:adjustRightInd w:val="0"/>
        <w:snapToGrid w:val="0"/>
        <w:spacing w:line="560" w:lineRule="exact"/>
        <w:jc w:val="right"/>
        <w:rPr>
          <w:rFonts w:ascii="宋体" w:hAnsi="宋体" w:eastAsia="宋体" w:cs="宋体"/>
          <w:color w:val="000000"/>
          <w:sz w:val="28"/>
          <w:szCs w:val="28"/>
        </w:rPr>
      </w:pPr>
      <w:r>
        <w:rPr>
          <w:rFonts w:hint="eastAsia" w:ascii="宋体" w:hAnsi="宋体" w:eastAsia="宋体" w:cs="宋体"/>
          <w:color w:val="000000"/>
          <w:sz w:val="28"/>
          <w:szCs w:val="28"/>
        </w:rPr>
        <w:t xml:space="preserve">2022年1月        </w:t>
      </w:r>
    </w:p>
    <w:p>
      <w:pPr>
        <w:pStyle w:val="2"/>
        <w:shd w:val="clear" w:color="auto" w:fill="FFFFFF"/>
        <w:wordWrap w:val="0"/>
        <w:adjustRightInd w:val="0"/>
        <w:snapToGrid w:val="0"/>
        <w:spacing w:before="0" w:beforeAutospacing="0" w:after="0" w:afterAutospacing="0" w:line="560" w:lineRule="exact"/>
        <w:jc w:val="right"/>
        <w:textAlignment w:val="baseline"/>
        <w:rPr>
          <w:color w:val="000000"/>
          <w:sz w:val="28"/>
          <w:szCs w:val="28"/>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1" w:fontKey="{5DD2FC35-880A-4CA8-B109-9D3F6CD82F9F}"/>
  </w:font>
  <w:font w:name="Helvetica">
    <w:altName w:val="Arial"/>
    <w:panose1 w:val="020B0604020202020204"/>
    <w:charset w:val="00"/>
    <w:family w:val="swiss"/>
    <w:pitch w:val="default"/>
    <w:sig w:usb0="00000000" w:usb1="00000000" w:usb2="00000009" w:usb3="00000000" w:csb0="000001FF" w:csb1="00000000"/>
    <w:embedRegular r:id="rId2" w:fontKey="{221E0E83-F382-4D2E-8EA3-619AD14615FF}"/>
  </w:font>
  <w:font w:name="方正公文小标宋">
    <w:altName w:val="宋体"/>
    <w:panose1 w:val="00000000000000000000"/>
    <w:charset w:val="86"/>
    <w:family w:val="auto"/>
    <w:pitch w:val="default"/>
    <w:sig w:usb0="00000000" w:usb1="00000000" w:usb2="00000016" w:usb3="00000000" w:csb0="00040001" w:csb1="00000000"/>
    <w:embedRegular r:id="rId3" w:fontKey="{E7344CB2-E9F7-46FD-A5FD-CD99CDA980ED}"/>
  </w:font>
  <w:font w:name="仿宋_GB2312">
    <w:panose1 w:val="02010609030101010101"/>
    <w:charset w:val="86"/>
    <w:family w:val="auto"/>
    <w:pitch w:val="default"/>
    <w:sig w:usb0="00000001" w:usb1="080E0000" w:usb2="00000000" w:usb3="00000000" w:csb0="00040000" w:csb1="00000000"/>
    <w:embedRegular r:id="rId4" w:fontKey="{0A1B1C6E-A64A-41F4-ADA6-E9344C5DCFF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995"/>
    <w:rsid w:val="000474B1"/>
    <w:rsid w:val="001B0995"/>
    <w:rsid w:val="00424DD9"/>
    <w:rsid w:val="005D5F15"/>
    <w:rsid w:val="00803373"/>
    <w:rsid w:val="008D0261"/>
    <w:rsid w:val="00C45795"/>
    <w:rsid w:val="04A31AD1"/>
    <w:rsid w:val="129465AA"/>
    <w:rsid w:val="12A37933"/>
    <w:rsid w:val="13D604FC"/>
    <w:rsid w:val="2121704B"/>
    <w:rsid w:val="224C0F19"/>
    <w:rsid w:val="22F364F6"/>
    <w:rsid w:val="23FC75FC"/>
    <w:rsid w:val="29473639"/>
    <w:rsid w:val="2BA73E61"/>
    <w:rsid w:val="2DAA6942"/>
    <w:rsid w:val="2E0F337C"/>
    <w:rsid w:val="2F06737B"/>
    <w:rsid w:val="39550757"/>
    <w:rsid w:val="3BFC2C19"/>
    <w:rsid w:val="3D0457F6"/>
    <w:rsid w:val="406C1214"/>
    <w:rsid w:val="427A7097"/>
    <w:rsid w:val="42AE0375"/>
    <w:rsid w:val="44DB6A40"/>
    <w:rsid w:val="48FC3936"/>
    <w:rsid w:val="4A074514"/>
    <w:rsid w:val="4A58223E"/>
    <w:rsid w:val="4F424DE0"/>
    <w:rsid w:val="518752B0"/>
    <w:rsid w:val="5D804D2D"/>
    <w:rsid w:val="63766770"/>
    <w:rsid w:val="6D255E48"/>
    <w:rsid w:val="6FE3114C"/>
    <w:rsid w:val="721B33E0"/>
    <w:rsid w:val="732B2D96"/>
    <w:rsid w:val="74B56211"/>
    <w:rsid w:val="74CA0F44"/>
    <w:rsid w:val="7CF72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575</Words>
  <Characters>3279</Characters>
  <Lines>27</Lines>
  <Paragraphs>7</Paragraphs>
  <TotalTime>8</TotalTime>
  <ScaleCrop>false</ScaleCrop>
  <LinksUpToDate>false</LinksUpToDate>
  <CharactersWithSpaces>3847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2022-01-26T02:55:00Z</dcterms:created>
  <dc:creator>Windows 用户</dc:creator>
  <cp:lastModifiedBy>徐滢滢</cp:lastModifiedBy>
  <cp:lastPrinted>2021-12-28T08:05:00Z</cp:lastPrinted>
  <dcterms:modified xsi:type="dcterms:W3CDTF">2022-01-26T09:35:39Z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262F828FA86D42699BA83D1187F80E6F</vt:lpwstr>
  </property>
</Properties>
</file>