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方正小标宋简体" w:hAnsi="方正小标宋简体" w:eastAsia="方正小标宋简体" w:cs="方正小标宋简体"/>
          <w:b w:val="0"/>
          <w:bCs w:val="0"/>
          <w:color w:val="auto"/>
          <w:kern w:val="0"/>
          <w:sz w:val="36"/>
          <w:szCs w:val="36"/>
          <w:lang w:val="en-US" w:eastAsia="zh-CN" w:bidi="ar"/>
        </w:rPr>
      </w:pPr>
      <w:r>
        <w:rPr>
          <w:rFonts w:hint="eastAsia" w:ascii="方正小标宋简体" w:hAnsi="方正小标宋简体" w:eastAsia="方正小标宋简体" w:cs="方正小标宋简体"/>
          <w:b w:val="0"/>
          <w:bCs w:val="0"/>
          <w:color w:val="auto"/>
          <w:kern w:val="0"/>
          <w:sz w:val="36"/>
          <w:szCs w:val="36"/>
          <w:lang w:val="en-US" w:eastAsia="zh-CN" w:bidi="ar"/>
        </w:rPr>
        <w:t>浙江财经大学2022年退役大学生士兵免试专升本</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方正小标宋简体" w:hAnsi="方正小标宋简体" w:eastAsia="方正小标宋简体" w:cs="方正小标宋简体"/>
          <w:b w:val="0"/>
          <w:bCs w:val="0"/>
          <w:color w:val="auto"/>
          <w:kern w:val="0"/>
          <w:sz w:val="36"/>
          <w:szCs w:val="36"/>
          <w:lang w:val="en-US" w:eastAsia="zh-CN" w:bidi="ar"/>
        </w:rPr>
      </w:pPr>
      <w:r>
        <w:rPr>
          <w:rFonts w:hint="eastAsia" w:ascii="方正小标宋简体" w:hAnsi="方正小标宋简体" w:eastAsia="方正小标宋简体" w:cs="方正小标宋简体"/>
          <w:b w:val="0"/>
          <w:bCs w:val="0"/>
          <w:color w:val="auto"/>
          <w:kern w:val="0"/>
          <w:sz w:val="36"/>
          <w:szCs w:val="36"/>
          <w:lang w:val="en-US" w:eastAsia="zh-CN" w:bidi="ar"/>
        </w:rPr>
        <w:t>招生简章</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根据教育部办公厅《关于做好2022年普通高等学校专升本考试招生工作的通知》（教学厅〔2021〕8号）、浙江省教育厅办公室关于印发《浙江省退役大学生士兵免试专升本招生工作实施办法的通知》（浙教办考〔2021〕58号）等文件精神，为切实做好我校2022年退役大学生士兵免试专升本招生工作（以下简称免试专升本），特制定本招生简章。</w:t>
      </w: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3" w:firstLineChars="200"/>
        <w:textAlignment w:val="auto"/>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一、学校简介</w:t>
      </w: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0" w:firstLineChars="200"/>
        <w:textAlignment w:val="auto"/>
        <w:rPr>
          <w:rFonts w:hint="eastAsia" w:ascii="仿宋_GB2312" w:hAnsi="仿宋_GB2312" w:eastAsia="仿宋_GB2312" w:cs="仿宋_GB2312"/>
          <w:b w:val="0"/>
          <w:bCs w:val="0"/>
          <w:color w:val="auto"/>
          <w:kern w:val="0"/>
          <w:sz w:val="32"/>
          <w:szCs w:val="32"/>
          <w:lang w:val="en-US" w:eastAsia="zh-CN" w:bidi="ar"/>
        </w:rPr>
      </w:pPr>
      <w:r>
        <w:rPr>
          <w:rFonts w:hint="eastAsia" w:ascii="仿宋_GB2312" w:hAnsi="仿宋_GB2312" w:eastAsia="仿宋_GB2312" w:cs="仿宋_GB2312"/>
          <w:b w:val="0"/>
          <w:bCs w:val="0"/>
          <w:color w:val="auto"/>
          <w:kern w:val="0"/>
          <w:sz w:val="32"/>
          <w:szCs w:val="32"/>
          <w:lang w:val="en-US" w:eastAsia="zh-CN" w:bidi="ar"/>
        </w:rPr>
        <w:t>（一）学校全称：浙江财经大学。</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kern w:val="0"/>
          <w:sz w:val="32"/>
          <w:szCs w:val="32"/>
          <w:lang w:val="zh-CN" w:eastAsia="zh-CN" w:bidi="ar"/>
        </w:rPr>
      </w:pPr>
      <w:r>
        <w:rPr>
          <w:rFonts w:hint="eastAsia" w:ascii="仿宋_GB2312" w:hAnsi="仿宋_GB2312" w:eastAsia="仿宋_GB2312" w:cs="仿宋_GB2312"/>
          <w:b w:val="0"/>
          <w:bCs w:val="0"/>
          <w:color w:val="auto"/>
          <w:kern w:val="0"/>
          <w:sz w:val="32"/>
          <w:szCs w:val="32"/>
          <w:lang w:val="zh-CN" w:eastAsia="zh-CN" w:bidi="ar"/>
        </w:rPr>
        <w:t>（二）学校国家代码：11482，浙江省代码：0016。</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kern w:val="0"/>
          <w:sz w:val="32"/>
          <w:szCs w:val="32"/>
          <w:lang w:val="zh-CN" w:eastAsia="zh-CN" w:bidi="ar"/>
        </w:rPr>
      </w:pPr>
      <w:r>
        <w:rPr>
          <w:rFonts w:hint="eastAsia" w:ascii="仿宋_GB2312" w:hAnsi="仿宋_GB2312" w:eastAsia="仿宋_GB2312" w:cs="仿宋_GB2312"/>
          <w:b w:val="0"/>
          <w:bCs w:val="0"/>
          <w:color w:val="auto"/>
          <w:kern w:val="0"/>
          <w:sz w:val="32"/>
          <w:szCs w:val="32"/>
          <w:lang w:val="zh-CN" w:eastAsia="zh-CN" w:bidi="ar"/>
        </w:rPr>
        <w:t>（三）办学层次和类型：本科及研究生教育，国家公办全日制普通高等学校。</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kern w:val="0"/>
          <w:sz w:val="32"/>
          <w:szCs w:val="32"/>
          <w:lang w:val="zh-CN" w:eastAsia="zh-CN" w:bidi="ar"/>
        </w:rPr>
      </w:pPr>
      <w:r>
        <w:rPr>
          <w:rFonts w:hint="eastAsia" w:ascii="仿宋_GB2312" w:hAnsi="仿宋_GB2312" w:eastAsia="仿宋_GB2312" w:cs="仿宋_GB2312"/>
          <w:b w:val="0"/>
          <w:bCs w:val="0"/>
          <w:color w:val="auto"/>
          <w:kern w:val="0"/>
          <w:sz w:val="32"/>
          <w:szCs w:val="32"/>
          <w:lang w:val="zh-CN" w:eastAsia="zh-CN" w:bidi="ar"/>
        </w:rPr>
        <w:t>（四）办学地址：浙江省杭州市下沙高教园区学源街18号。</w:t>
      </w:r>
    </w:p>
    <w:p>
      <w:pPr>
        <w:pStyle w:val="2"/>
        <w:keepNext w:val="0"/>
        <w:keepLines w:val="0"/>
        <w:pageBreakBefore w:val="0"/>
        <w:widowControl w:val="0"/>
        <w:kinsoku/>
        <w:wordWrap/>
        <w:overflowPunct/>
        <w:topLinePunct w:val="0"/>
        <w:autoSpaceDE w:val="0"/>
        <w:autoSpaceDN w:val="0"/>
        <w:bidi w:val="0"/>
        <w:adjustRightInd/>
        <w:snapToGrid/>
        <w:spacing w:line="560" w:lineRule="exact"/>
        <w:ind w:left="0" w:firstLine="640" w:firstLineChars="200"/>
        <w:textAlignment w:val="auto"/>
        <w:rPr>
          <w:rFonts w:hint="eastAsia" w:ascii="仿宋_GB2312" w:hAnsi="仿宋_GB2312" w:eastAsia="仿宋_GB2312" w:cs="仿宋_GB2312"/>
          <w:b w:val="0"/>
          <w:bCs w:val="0"/>
          <w:color w:val="auto"/>
          <w:kern w:val="0"/>
          <w:sz w:val="32"/>
          <w:szCs w:val="32"/>
          <w:lang w:val="en-US" w:eastAsia="zh-CN" w:bidi="ar"/>
        </w:rPr>
      </w:pPr>
      <w:r>
        <w:rPr>
          <w:rFonts w:hint="eastAsia" w:ascii="仿宋_GB2312" w:hAnsi="仿宋_GB2312" w:eastAsia="仿宋_GB2312" w:cs="仿宋_GB2312"/>
          <w:b w:val="0"/>
          <w:bCs w:val="0"/>
          <w:color w:val="auto"/>
          <w:kern w:val="0"/>
          <w:sz w:val="32"/>
          <w:szCs w:val="32"/>
          <w:lang w:val="en-US" w:eastAsia="zh-CN" w:bidi="ar"/>
        </w:rPr>
        <w:t>（五）浙江财经大学是经国家教育部批准设立的，经济、管理学科为主体，经、管、文、法、理、工、艺、哲等多学科协调发展的财经类高校，为浙江省重点建设高校、教育部本科教学工作水平评估优秀学校。学校具有博士、硕士、学士学位授予权和外国留学生、港澳台学生招生权，拥有2个一级学科博士点，10个一级学科硕士点，18个专业学位硕士点。设有45个本科专业，其中13个国家级一流本科专业建设点、11个省级一流本科专业建设点，省级及以上专业占全校专业的53%。学校围绕“建设特色鲜明的一流财经大学”目标，始终坚持把人才培养作为中心工作，已成为浙江省财经类高级专门人才的重要培养基地，被誉为浙江财税干部的“黄埔军校”、会计师的摇篮、金融家的沃土、企业家的殿堂。</w:t>
      </w:r>
    </w:p>
    <w:p>
      <w:pPr>
        <w:keepNext w:val="0"/>
        <w:keepLines w:val="0"/>
        <w:pageBreakBefore w:val="0"/>
        <w:widowControl/>
        <w:suppressLineNumbers w:val="0"/>
        <w:kinsoku/>
        <w:wordWrap/>
        <w:overflowPunct/>
        <w:topLinePunct w:val="0"/>
        <w:autoSpaceDE/>
        <w:autoSpaceDN/>
        <w:bidi w:val="0"/>
        <w:adjustRightInd w:val="0"/>
        <w:snapToGrid w:val="0"/>
        <w:spacing w:line="560" w:lineRule="exact"/>
        <w:ind w:firstLine="643" w:firstLineChars="200"/>
        <w:jc w:val="left"/>
        <w:textAlignment w:val="auto"/>
        <w:rPr>
          <w:rFonts w:hint="eastAsia" w:ascii="仿宋_GB2312" w:hAnsi="仿宋_GB2312" w:eastAsia="仿宋_GB2312" w:cs="仿宋_GB2312"/>
          <w:b/>
          <w:bCs/>
          <w:color w:val="auto"/>
          <w:sz w:val="32"/>
          <w:szCs w:val="32"/>
        </w:rPr>
      </w:pPr>
      <w:bookmarkStart w:id="0" w:name="_GoBack"/>
      <w:bookmarkEnd w:id="0"/>
      <w:r>
        <w:rPr>
          <w:rFonts w:hint="eastAsia" w:ascii="仿宋_GB2312" w:hAnsi="仿宋_GB2312" w:eastAsia="仿宋_GB2312" w:cs="仿宋_GB2312"/>
          <w:b/>
          <w:bCs/>
          <w:color w:val="auto"/>
          <w:kern w:val="0"/>
          <w:sz w:val="32"/>
          <w:szCs w:val="32"/>
          <w:lang w:val="en-US" w:eastAsia="zh-CN" w:bidi="ar"/>
        </w:rPr>
        <w:t>二、招生对象</w:t>
      </w:r>
    </w:p>
    <w:p>
      <w:pPr>
        <w:keepNext w:val="0"/>
        <w:keepLines w:val="0"/>
        <w:pageBreakBefore w:val="0"/>
        <w:widowControl/>
        <w:suppressLineNumbers w:val="0"/>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符合下列条件的人员可以提出申请：</w:t>
      </w:r>
    </w:p>
    <w:p>
      <w:pPr>
        <w:keepNext w:val="0"/>
        <w:keepLines w:val="0"/>
        <w:pageBreakBefore w:val="0"/>
        <w:widowControl/>
        <w:numPr>
          <w:ilvl w:val="0"/>
          <w:numId w:val="1"/>
        </w:numPr>
        <w:suppressLineNumbers w:val="0"/>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普通高校高职（专科）毕业生及在校生（含高校新生）在浙江省应征入伍，退役后完成高职（专科）学业。</w:t>
      </w:r>
    </w:p>
    <w:p>
      <w:pPr>
        <w:keepNext w:val="0"/>
        <w:keepLines w:val="0"/>
        <w:pageBreakBefore w:val="0"/>
        <w:widowControl/>
        <w:suppressLineNumbers w:val="0"/>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（二）遵守中华人民共和国宪法和法律。</w:t>
      </w:r>
    </w:p>
    <w:p>
      <w:pPr>
        <w:keepNext w:val="0"/>
        <w:keepLines w:val="0"/>
        <w:pageBreakBefore w:val="0"/>
        <w:widowControl/>
        <w:suppressLineNumbers w:val="0"/>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（三）身体健康。</w:t>
      </w:r>
    </w:p>
    <w:p>
      <w:pPr>
        <w:keepNext w:val="0"/>
        <w:keepLines w:val="0"/>
        <w:pageBreakBefore w:val="0"/>
        <w:widowControl/>
        <w:suppressLineNumbers w:val="0"/>
        <w:kinsoku/>
        <w:wordWrap/>
        <w:overflowPunct/>
        <w:topLinePunct w:val="0"/>
        <w:autoSpaceDE/>
        <w:autoSpaceDN/>
        <w:bidi w:val="0"/>
        <w:adjustRightInd w:val="0"/>
        <w:snapToGrid w:val="0"/>
        <w:spacing w:line="560" w:lineRule="exact"/>
        <w:ind w:firstLine="643" w:firstLineChars="200"/>
        <w:jc w:val="left"/>
        <w:textAlignment w:val="auto"/>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三、招考类别</w:t>
      </w:r>
    </w:p>
    <w:p>
      <w:pPr>
        <w:keepNext w:val="0"/>
        <w:keepLines w:val="0"/>
        <w:pageBreakBefore w:val="0"/>
        <w:widowControl/>
        <w:suppressLineNumbers w:val="0"/>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招考类别为文史类。招生专业为英语、汉语言文学专业，高职高专阶段所学专业为文史类考生均可报考，具体见《浙江省专升本各类别所含专业对照表（2022版）》（见附件1）。</w:t>
      </w:r>
    </w:p>
    <w:p>
      <w:pPr>
        <w:keepNext w:val="0"/>
        <w:keepLines w:val="0"/>
        <w:pageBreakBefore w:val="0"/>
        <w:widowControl/>
        <w:suppressLineNumbers w:val="0"/>
        <w:kinsoku/>
        <w:wordWrap/>
        <w:overflowPunct/>
        <w:topLinePunct w:val="0"/>
        <w:autoSpaceDE/>
        <w:autoSpaceDN/>
        <w:bidi w:val="0"/>
        <w:adjustRightInd w:val="0"/>
        <w:snapToGrid w:val="0"/>
        <w:spacing w:line="560" w:lineRule="exact"/>
        <w:ind w:firstLine="643" w:firstLineChars="200"/>
        <w:jc w:val="left"/>
        <w:textAlignment w:val="auto"/>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四、招生计划</w:t>
      </w:r>
    </w:p>
    <w:p>
      <w:pPr>
        <w:keepNext w:val="0"/>
        <w:keepLines w:val="0"/>
        <w:pageBreakBefore w:val="0"/>
        <w:widowControl/>
        <w:suppressLineNumbers w:val="0"/>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英语、汉语言文学专业具体计划由浙江省教育考试院汇总后统一公布。</w:t>
      </w:r>
    </w:p>
    <w:tbl>
      <w:tblPr>
        <w:tblStyle w:val="5"/>
        <w:tblW w:w="8392" w:type="dxa"/>
        <w:jc w:val="center"/>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autofit"/>
        <w:tblCellMar>
          <w:top w:w="0" w:type="dxa"/>
          <w:left w:w="0" w:type="dxa"/>
          <w:bottom w:w="0" w:type="dxa"/>
          <w:right w:w="0" w:type="dxa"/>
        </w:tblCellMar>
      </w:tblPr>
      <w:tblGrid>
        <w:gridCol w:w="1166"/>
        <w:gridCol w:w="1484"/>
        <w:gridCol w:w="1921"/>
        <w:gridCol w:w="1770"/>
        <w:gridCol w:w="2051"/>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357" w:hRule="atLeast"/>
          <w:jc w:val="center"/>
        </w:trPr>
        <w:tc>
          <w:tcPr>
            <w:tcW w:w="1166" w:type="dxa"/>
            <w:tcBorders>
              <w:top w:val="single" w:color="000000" w:sz="6" w:space="0"/>
              <w:left w:val="single" w:color="000000" w:sz="6" w:space="0"/>
              <w:bottom w:val="single" w:color="000000" w:sz="6" w:space="0"/>
              <w:right w:val="single" w:color="000000" w:sz="6" w:space="0"/>
            </w:tcBorders>
            <w:noWrap w:val="0"/>
            <w:tcMar>
              <w:top w:w="30" w:type="dxa"/>
              <w:left w:w="45" w:type="dxa"/>
              <w:bottom w:w="30" w:type="dxa"/>
              <w:right w:w="4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0"/>
              <w:jc w:val="center"/>
              <w:textAlignment w:val="top"/>
              <w:rPr>
                <w:rFonts w:hint="eastAsia" w:ascii="仿宋_GB2312" w:hAnsi="仿宋_GB2312" w:eastAsia="仿宋_GB2312" w:cs="仿宋_GB2312"/>
                <w:b w:val="0"/>
                <w:bCs w:val="0"/>
                <w:color w:val="auto"/>
                <w:sz w:val="28"/>
                <w:szCs w:val="28"/>
              </w:rPr>
            </w:pPr>
            <w:r>
              <w:rPr>
                <w:rStyle w:val="7"/>
                <w:rFonts w:hint="eastAsia" w:ascii="仿宋_GB2312" w:hAnsi="仿宋_GB2312" w:eastAsia="仿宋_GB2312" w:cs="仿宋_GB2312"/>
                <w:b/>
                <w:bCs/>
                <w:color w:val="auto"/>
                <w:sz w:val="28"/>
                <w:szCs w:val="28"/>
              </w:rPr>
              <w:t>类别</w:t>
            </w:r>
          </w:p>
        </w:tc>
        <w:tc>
          <w:tcPr>
            <w:tcW w:w="1484" w:type="dxa"/>
            <w:tcBorders>
              <w:top w:val="single" w:color="000000" w:sz="6" w:space="0"/>
              <w:left w:val="nil"/>
              <w:bottom w:val="single" w:color="000000" w:sz="6" w:space="0"/>
              <w:right w:val="single" w:color="000000" w:sz="6" w:space="0"/>
            </w:tcBorders>
            <w:noWrap w:val="0"/>
            <w:tcMar>
              <w:top w:w="30" w:type="dxa"/>
              <w:left w:w="45" w:type="dxa"/>
              <w:bottom w:w="30" w:type="dxa"/>
              <w:right w:w="4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0"/>
              <w:jc w:val="center"/>
              <w:textAlignment w:val="top"/>
              <w:rPr>
                <w:rFonts w:hint="eastAsia" w:ascii="仿宋_GB2312" w:hAnsi="仿宋_GB2312" w:eastAsia="仿宋_GB2312" w:cs="仿宋_GB2312"/>
                <w:b w:val="0"/>
                <w:bCs w:val="0"/>
                <w:color w:val="auto"/>
                <w:sz w:val="28"/>
                <w:szCs w:val="28"/>
              </w:rPr>
            </w:pPr>
            <w:r>
              <w:rPr>
                <w:rStyle w:val="7"/>
                <w:rFonts w:hint="eastAsia" w:ascii="仿宋_GB2312" w:hAnsi="仿宋_GB2312" w:eastAsia="仿宋_GB2312" w:cs="仿宋_GB2312"/>
                <w:b/>
                <w:bCs/>
                <w:color w:val="auto"/>
                <w:sz w:val="28"/>
                <w:szCs w:val="28"/>
              </w:rPr>
              <w:t>院校代码</w:t>
            </w:r>
          </w:p>
        </w:tc>
        <w:tc>
          <w:tcPr>
            <w:tcW w:w="1921" w:type="dxa"/>
            <w:tcBorders>
              <w:top w:val="single" w:color="000000" w:sz="6" w:space="0"/>
              <w:left w:val="nil"/>
              <w:bottom w:val="single" w:color="000000" w:sz="6" w:space="0"/>
              <w:right w:val="single" w:color="000000" w:sz="6" w:space="0"/>
            </w:tcBorders>
            <w:noWrap w:val="0"/>
            <w:tcMar>
              <w:top w:w="30" w:type="dxa"/>
              <w:left w:w="45" w:type="dxa"/>
              <w:bottom w:w="30" w:type="dxa"/>
              <w:right w:w="4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0"/>
              <w:jc w:val="center"/>
              <w:textAlignment w:val="top"/>
              <w:rPr>
                <w:rStyle w:val="7"/>
                <w:rFonts w:hint="default" w:ascii="仿宋_GB2312" w:hAnsi="仿宋_GB2312" w:eastAsia="仿宋_GB2312" w:cs="仿宋_GB2312"/>
                <w:b/>
                <w:bCs/>
                <w:color w:val="auto"/>
                <w:sz w:val="28"/>
                <w:szCs w:val="28"/>
                <w:lang w:val="en-US" w:eastAsia="zh-CN"/>
              </w:rPr>
            </w:pPr>
            <w:r>
              <w:rPr>
                <w:rStyle w:val="7"/>
                <w:rFonts w:hint="eastAsia" w:ascii="仿宋_GB2312" w:hAnsi="仿宋_GB2312" w:eastAsia="仿宋_GB2312" w:cs="仿宋_GB2312"/>
                <w:b/>
                <w:bCs/>
                <w:color w:val="auto"/>
                <w:sz w:val="28"/>
                <w:szCs w:val="28"/>
                <w:lang w:val="en-US" w:eastAsia="zh-CN"/>
              </w:rPr>
              <w:t>院校名称</w:t>
            </w:r>
          </w:p>
        </w:tc>
        <w:tc>
          <w:tcPr>
            <w:tcW w:w="1770" w:type="dxa"/>
            <w:tcBorders>
              <w:top w:val="single" w:color="000000" w:sz="6" w:space="0"/>
              <w:left w:val="nil"/>
              <w:bottom w:val="single" w:color="000000" w:sz="6" w:space="0"/>
              <w:right w:val="single" w:color="000000" w:sz="6" w:space="0"/>
            </w:tcBorders>
            <w:noWrap w:val="0"/>
            <w:tcMar>
              <w:top w:w="30" w:type="dxa"/>
              <w:left w:w="45" w:type="dxa"/>
              <w:bottom w:w="30" w:type="dxa"/>
              <w:right w:w="4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0"/>
              <w:jc w:val="center"/>
              <w:textAlignment w:val="top"/>
              <w:rPr>
                <w:rFonts w:hint="eastAsia" w:ascii="仿宋_GB2312" w:hAnsi="仿宋_GB2312" w:eastAsia="仿宋_GB2312" w:cs="仿宋_GB2312"/>
                <w:b w:val="0"/>
                <w:bCs w:val="0"/>
                <w:color w:val="auto"/>
                <w:sz w:val="28"/>
                <w:szCs w:val="28"/>
              </w:rPr>
            </w:pPr>
            <w:r>
              <w:rPr>
                <w:rStyle w:val="7"/>
                <w:rFonts w:hint="eastAsia" w:ascii="仿宋_GB2312" w:hAnsi="仿宋_GB2312" w:eastAsia="仿宋_GB2312" w:cs="仿宋_GB2312"/>
                <w:b/>
                <w:bCs/>
                <w:color w:val="auto"/>
                <w:sz w:val="28"/>
                <w:szCs w:val="28"/>
              </w:rPr>
              <w:t>专业名称</w:t>
            </w:r>
          </w:p>
        </w:tc>
        <w:tc>
          <w:tcPr>
            <w:tcW w:w="2051" w:type="dxa"/>
            <w:tcBorders>
              <w:top w:val="single" w:color="000000" w:sz="6" w:space="0"/>
              <w:left w:val="nil"/>
              <w:bottom w:val="single" w:color="000000" w:sz="6" w:space="0"/>
              <w:right w:val="single" w:color="000000" w:sz="6" w:space="0"/>
            </w:tcBorders>
            <w:noWrap w:val="0"/>
            <w:tcMar>
              <w:top w:w="30" w:type="dxa"/>
              <w:left w:w="45" w:type="dxa"/>
              <w:bottom w:w="30" w:type="dxa"/>
              <w:right w:w="4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0"/>
              <w:jc w:val="center"/>
              <w:textAlignment w:val="top"/>
              <w:rPr>
                <w:rFonts w:hint="eastAsia" w:ascii="仿宋_GB2312" w:hAnsi="仿宋_GB2312" w:eastAsia="仿宋_GB2312" w:cs="仿宋_GB2312"/>
                <w:b w:val="0"/>
                <w:bCs w:val="0"/>
                <w:color w:val="auto"/>
                <w:sz w:val="28"/>
                <w:szCs w:val="28"/>
                <w:lang w:eastAsia="zh-CN"/>
              </w:rPr>
            </w:pPr>
            <w:r>
              <w:rPr>
                <w:rStyle w:val="7"/>
                <w:rFonts w:hint="eastAsia" w:ascii="仿宋_GB2312" w:hAnsi="仿宋_GB2312" w:eastAsia="仿宋_GB2312" w:cs="仿宋_GB2312"/>
                <w:b/>
                <w:bCs/>
                <w:color w:val="auto"/>
                <w:sz w:val="28"/>
                <w:szCs w:val="28"/>
                <w:lang w:val="en-US" w:eastAsia="zh-CN"/>
              </w:rPr>
              <w:t>备注</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318" w:hRule="atLeast"/>
          <w:jc w:val="center"/>
        </w:trPr>
        <w:tc>
          <w:tcPr>
            <w:tcW w:w="1166" w:type="dxa"/>
            <w:tcBorders>
              <w:top w:val="nil"/>
              <w:left w:val="single" w:color="000000" w:sz="6" w:space="0"/>
              <w:bottom w:val="single" w:color="000000" w:sz="6" w:space="0"/>
              <w:right w:val="single" w:color="000000" w:sz="6" w:space="0"/>
            </w:tcBorders>
            <w:noWrap w:val="0"/>
            <w:tcMar>
              <w:top w:w="30" w:type="dxa"/>
              <w:left w:w="45" w:type="dxa"/>
              <w:bottom w:w="30" w:type="dxa"/>
              <w:right w:w="4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0"/>
              <w:jc w:val="center"/>
              <w:textAlignment w:val="center"/>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rPr>
              <w:t>文史</w:t>
            </w:r>
            <w:r>
              <w:rPr>
                <w:rFonts w:hint="eastAsia" w:ascii="仿宋_GB2312" w:hAnsi="仿宋_GB2312" w:eastAsia="仿宋_GB2312" w:cs="仿宋_GB2312"/>
                <w:b w:val="0"/>
                <w:bCs w:val="0"/>
                <w:color w:val="auto"/>
                <w:sz w:val="28"/>
                <w:szCs w:val="28"/>
                <w:lang w:val="en-US" w:eastAsia="zh-CN"/>
              </w:rPr>
              <w:t>类</w:t>
            </w:r>
          </w:p>
        </w:tc>
        <w:tc>
          <w:tcPr>
            <w:tcW w:w="1484" w:type="dxa"/>
            <w:tcBorders>
              <w:top w:val="nil"/>
              <w:left w:val="nil"/>
              <w:bottom w:val="single" w:color="000000" w:sz="6" w:space="0"/>
              <w:right w:val="single" w:color="000000" w:sz="6" w:space="0"/>
            </w:tcBorders>
            <w:noWrap w:val="0"/>
            <w:tcMar>
              <w:top w:w="30" w:type="dxa"/>
              <w:left w:w="45" w:type="dxa"/>
              <w:bottom w:w="30" w:type="dxa"/>
              <w:right w:w="4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0"/>
              <w:jc w:val="center"/>
              <w:textAlignment w:val="center"/>
              <w:rPr>
                <w:rFonts w:hint="eastAsia" w:ascii="仿宋_GB2312" w:hAnsi="仿宋_GB2312" w:eastAsia="仿宋_GB2312" w:cs="仿宋_GB2312"/>
                <w:b w:val="0"/>
                <w:bCs w:val="0"/>
                <w:color w:val="auto"/>
                <w:sz w:val="28"/>
                <w:szCs w:val="28"/>
              </w:rPr>
            </w:pPr>
            <w:r>
              <w:rPr>
                <w:rFonts w:hint="eastAsia" w:ascii="仿宋_GB2312" w:hAnsi="仿宋_GB2312" w:eastAsia="仿宋_GB2312" w:cs="仿宋_GB2312"/>
                <w:b w:val="0"/>
                <w:bCs w:val="0"/>
                <w:color w:val="auto"/>
                <w:sz w:val="28"/>
                <w:szCs w:val="28"/>
              </w:rPr>
              <w:t>0016</w:t>
            </w:r>
          </w:p>
        </w:tc>
        <w:tc>
          <w:tcPr>
            <w:tcW w:w="1921" w:type="dxa"/>
            <w:tcBorders>
              <w:top w:val="nil"/>
              <w:left w:val="nil"/>
              <w:bottom w:val="single" w:color="000000" w:sz="6" w:space="0"/>
              <w:right w:val="single" w:color="000000" w:sz="6" w:space="0"/>
            </w:tcBorders>
            <w:noWrap w:val="0"/>
            <w:tcMar>
              <w:top w:w="30" w:type="dxa"/>
              <w:left w:w="45" w:type="dxa"/>
              <w:bottom w:w="30" w:type="dxa"/>
              <w:right w:w="4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0"/>
              <w:jc w:val="center"/>
              <w:textAlignment w:val="center"/>
              <w:rPr>
                <w:rFonts w:hint="default"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浙江财经大学</w:t>
            </w:r>
          </w:p>
        </w:tc>
        <w:tc>
          <w:tcPr>
            <w:tcW w:w="1770" w:type="dxa"/>
            <w:tcBorders>
              <w:top w:val="nil"/>
              <w:left w:val="nil"/>
              <w:bottom w:val="single" w:color="000000" w:sz="6" w:space="0"/>
              <w:right w:val="single" w:color="000000" w:sz="6" w:space="0"/>
            </w:tcBorders>
            <w:noWrap w:val="0"/>
            <w:tcMar>
              <w:top w:w="30" w:type="dxa"/>
              <w:left w:w="45" w:type="dxa"/>
              <w:bottom w:w="30" w:type="dxa"/>
              <w:right w:w="4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0"/>
              <w:jc w:val="center"/>
              <w:textAlignment w:val="center"/>
              <w:rPr>
                <w:rFonts w:hint="eastAsia" w:ascii="仿宋_GB2312" w:hAnsi="仿宋_GB2312" w:eastAsia="仿宋_GB2312" w:cs="仿宋_GB2312"/>
                <w:b w:val="0"/>
                <w:bCs w:val="0"/>
                <w:color w:val="auto"/>
                <w:sz w:val="28"/>
                <w:szCs w:val="28"/>
              </w:rPr>
            </w:pPr>
            <w:r>
              <w:rPr>
                <w:rFonts w:hint="eastAsia" w:ascii="仿宋_GB2312" w:hAnsi="仿宋_GB2312" w:eastAsia="仿宋_GB2312" w:cs="仿宋_GB2312"/>
                <w:b w:val="0"/>
                <w:bCs w:val="0"/>
                <w:color w:val="auto"/>
                <w:sz w:val="28"/>
                <w:szCs w:val="28"/>
              </w:rPr>
              <w:t>英语</w:t>
            </w:r>
          </w:p>
        </w:tc>
        <w:tc>
          <w:tcPr>
            <w:tcW w:w="2051" w:type="dxa"/>
            <w:tcBorders>
              <w:top w:val="nil"/>
              <w:left w:val="nil"/>
              <w:bottom w:val="single" w:color="auto" w:sz="6" w:space="0"/>
              <w:right w:val="single" w:color="000000" w:sz="6" w:space="0"/>
            </w:tcBorders>
            <w:noWrap w:val="0"/>
            <w:tcMar>
              <w:top w:w="30" w:type="dxa"/>
              <w:left w:w="45" w:type="dxa"/>
              <w:bottom w:w="30" w:type="dxa"/>
              <w:right w:w="4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0"/>
              <w:jc w:val="center"/>
              <w:textAlignment w:val="center"/>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下沙校区就读</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355" w:hRule="atLeast"/>
          <w:jc w:val="center"/>
        </w:trPr>
        <w:tc>
          <w:tcPr>
            <w:tcW w:w="1166" w:type="dxa"/>
            <w:tcBorders>
              <w:top w:val="nil"/>
              <w:left w:val="single" w:color="000000" w:sz="6" w:space="0"/>
              <w:bottom w:val="single" w:color="000000" w:sz="6" w:space="0"/>
              <w:right w:val="single" w:color="000000" w:sz="6" w:space="0"/>
            </w:tcBorders>
            <w:noWrap w:val="0"/>
            <w:tcMar>
              <w:top w:w="30" w:type="dxa"/>
              <w:left w:w="45" w:type="dxa"/>
              <w:bottom w:w="30" w:type="dxa"/>
              <w:right w:w="4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0"/>
              <w:jc w:val="center"/>
              <w:textAlignment w:val="center"/>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rPr>
              <w:t>文史</w:t>
            </w:r>
            <w:r>
              <w:rPr>
                <w:rFonts w:hint="eastAsia" w:ascii="仿宋_GB2312" w:hAnsi="仿宋_GB2312" w:eastAsia="仿宋_GB2312" w:cs="仿宋_GB2312"/>
                <w:b w:val="0"/>
                <w:bCs w:val="0"/>
                <w:color w:val="auto"/>
                <w:sz w:val="28"/>
                <w:szCs w:val="28"/>
                <w:lang w:val="en-US" w:eastAsia="zh-CN"/>
              </w:rPr>
              <w:t>类</w:t>
            </w:r>
          </w:p>
        </w:tc>
        <w:tc>
          <w:tcPr>
            <w:tcW w:w="1484" w:type="dxa"/>
            <w:tcBorders>
              <w:top w:val="nil"/>
              <w:left w:val="nil"/>
              <w:bottom w:val="single" w:color="000000" w:sz="6" w:space="0"/>
              <w:right w:val="single" w:color="000000" w:sz="6" w:space="0"/>
            </w:tcBorders>
            <w:noWrap w:val="0"/>
            <w:tcMar>
              <w:top w:w="30" w:type="dxa"/>
              <w:left w:w="45" w:type="dxa"/>
              <w:bottom w:w="30" w:type="dxa"/>
              <w:right w:w="4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0"/>
              <w:jc w:val="center"/>
              <w:textAlignment w:val="center"/>
              <w:rPr>
                <w:rFonts w:hint="eastAsia" w:ascii="仿宋_GB2312" w:hAnsi="仿宋_GB2312" w:eastAsia="仿宋_GB2312" w:cs="仿宋_GB2312"/>
                <w:b w:val="0"/>
                <w:bCs w:val="0"/>
                <w:color w:val="auto"/>
                <w:sz w:val="28"/>
                <w:szCs w:val="28"/>
              </w:rPr>
            </w:pPr>
            <w:r>
              <w:rPr>
                <w:rFonts w:hint="eastAsia" w:ascii="仿宋_GB2312" w:hAnsi="仿宋_GB2312" w:eastAsia="仿宋_GB2312" w:cs="仿宋_GB2312"/>
                <w:b w:val="0"/>
                <w:bCs w:val="0"/>
                <w:color w:val="auto"/>
                <w:sz w:val="28"/>
                <w:szCs w:val="28"/>
              </w:rPr>
              <w:t>0016</w:t>
            </w:r>
          </w:p>
        </w:tc>
        <w:tc>
          <w:tcPr>
            <w:tcW w:w="1921" w:type="dxa"/>
            <w:tcBorders>
              <w:top w:val="nil"/>
              <w:left w:val="nil"/>
              <w:bottom w:val="single" w:color="000000" w:sz="6" w:space="0"/>
              <w:right w:val="single" w:color="000000" w:sz="6" w:space="0"/>
            </w:tcBorders>
            <w:noWrap w:val="0"/>
            <w:tcMar>
              <w:top w:w="30" w:type="dxa"/>
              <w:left w:w="45" w:type="dxa"/>
              <w:bottom w:w="30" w:type="dxa"/>
              <w:right w:w="4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0"/>
              <w:jc w:val="center"/>
              <w:textAlignment w:val="center"/>
              <w:rPr>
                <w:rFonts w:hint="eastAsia" w:ascii="仿宋_GB2312" w:hAnsi="仿宋_GB2312" w:eastAsia="仿宋_GB2312" w:cs="仿宋_GB2312"/>
                <w:b w:val="0"/>
                <w:bCs w:val="0"/>
                <w:color w:val="auto"/>
                <w:sz w:val="28"/>
                <w:szCs w:val="28"/>
              </w:rPr>
            </w:pPr>
            <w:r>
              <w:rPr>
                <w:rFonts w:hint="eastAsia" w:ascii="仿宋_GB2312" w:hAnsi="仿宋_GB2312" w:eastAsia="仿宋_GB2312" w:cs="仿宋_GB2312"/>
                <w:b w:val="0"/>
                <w:bCs w:val="0"/>
                <w:color w:val="auto"/>
                <w:sz w:val="28"/>
                <w:szCs w:val="28"/>
                <w:lang w:val="en-US" w:eastAsia="zh-CN"/>
              </w:rPr>
              <w:t>浙江财经大学</w:t>
            </w:r>
          </w:p>
        </w:tc>
        <w:tc>
          <w:tcPr>
            <w:tcW w:w="1770" w:type="dxa"/>
            <w:tcBorders>
              <w:top w:val="nil"/>
              <w:left w:val="nil"/>
              <w:bottom w:val="single" w:color="000000" w:sz="6" w:space="0"/>
              <w:right w:val="single" w:color="000000" w:sz="6" w:space="0"/>
            </w:tcBorders>
            <w:noWrap w:val="0"/>
            <w:tcMar>
              <w:top w:w="30" w:type="dxa"/>
              <w:left w:w="45" w:type="dxa"/>
              <w:bottom w:w="30" w:type="dxa"/>
              <w:right w:w="4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0"/>
              <w:jc w:val="center"/>
              <w:textAlignment w:val="center"/>
              <w:rPr>
                <w:rFonts w:hint="eastAsia" w:ascii="仿宋_GB2312" w:hAnsi="仿宋_GB2312" w:eastAsia="仿宋_GB2312" w:cs="仿宋_GB2312"/>
                <w:b w:val="0"/>
                <w:bCs w:val="0"/>
                <w:color w:val="auto"/>
                <w:sz w:val="28"/>
                <w:szCs w:val="28"/>
              </w:rPr>
            </w:pPr>
            <w:r>
              <w:rPr>
                <w:rFonts w:hint="eastAsia" w:ascii="仿宋_GB2312" w:hAnsi="仿宋_GB2312" w:eastAsia="仿宋_GB2312" w:cs="仿宋_GB2312"/>
                <w:b w:val="0"/>
                <w:bCs w:val="0"/>
                <w:color w:val="auto"/>
                <w:sz w:val="28"/>
                <w:szCs w:val="28"/>
              </w:rPr>
              <w:t>汉语言文学</w:t>
            </w:r>
          </w:p>
        </w:tc>
        <w:tc>
          <w:tcPr>
            <w:tcW w:w="2051" w:type="dxa"/>
            <w:tcBorders>
              <w:top w:val="nil"/>
              <w:left w:val="nil"/>
              <w:bottom w:val="single" w:color="auto" w:sz="6" w:space="0"/>
              <w:right w:val="single" w:color="000000" w:sz="6" w:space="0"/>
            </w:tcBorders>
            <w:noWrap w:val="0"/>
            <w:tcMar>
              <w:top w:w="30" w:type="dxa"/>
              <w:left w:w="45" w:type="dxa"/>
              <w:bottom w:w="30" w:type="dxa"/>
              <w:right w:w="4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0"/>
              <w:jc w:val="center"/>
              <w:textAlignment w:val="center"/>
              <w:rPr>
                <w:rFonts w:hint="eastAsia" w:ascii="仿宋_GB2312" w:hAnsi="仿宋_GB2312" w:eastAsia="仿宋_GB2312" w:cs="仿宋_GB2312"/>
                <w:b w:val="0"/>
                <w:bCs w:val="0"/>
                <w:color w:val="auto"/>
                <w:sz w:val="28"/>
                <w:szCs w:val="28"/>
              </w:rPr>
            </w:pPr>
            <w:r>
              <w:rPr>
                <w:rFonts w:hint="eastAsia" w:ascii="仿宋_GB2312" w:hAnsi="仿宋_GB2312" w:eastAsia="仿宋_GB2312" w:cs="仿宋_GB2312"/>
                <w:b w:val="0"/>
                <w:bCs w:val="0"/>
                <w:color w:val="auto"/>
                <w:sz w:val="28"/>
                <w:szCs w:val="28"/>
                <w:lang w:val="en-US" w:eastAsia="zh-CN"/>
              </w:rPr>
              <w:t>下沙校区就读</w:t>
            </w:r>
          </w:p>
        </w:tc>
      </w:tr>
    </w:tbl>
    <w:p>
      <w:pPr>
        <w:pStyle w:val="2"/>
        <w:keepNext w:val="0"/>
        <w:keepLines w:val="0"/>
        <w:pageBreakBefore w:val="0"/>
        <w:kinsoku/>
        <w:wordWrap/>
        <w:overflowPunct/>
        <w:topLinePunct w:val="0"/>
        <w:autoSpaceDE/>
        <w:autoSpaceDN/>
        <w:bidi w:val="0"/>
        <w:spacing w:line="560" w:lineRule="exact"/>
        <w:ind w:left="0" w:right="0" w:firstLine="643" w:firstLineChars="200"/>
        <w:jc w:val="both"/>
        <w:textAlignment w:val="auto"/>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五、报名方式</w:t>
      </w:r>
    </w:p>
    <w:p>
      <w:pPr>
        <w:pStyle w:val="3"/>
        <w:keepNext w:val="0"/>
        <w:keepLines w:val="0"/>
        <w:pageBreakBefore w:val="0"/>
        <w:kinsoku/>
        <w:wordWrap/>
        <w:overflowPunct/>
        <w:topLinePunct w:val="0"/>
        <w:autoSpaceDE/>
        <w:autoSpaceDN/>
        <w:bidi w:val="0"/>
        <w:spacing w:line="560" w:lineRule="exact"/>
        <w:ind w:left="0" w:right="0" w:firstLine="640" w:firstLineChars="200"/>
        <w:jc w:val="both"/>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val="0"/>
          <w:bCs w:val="0"/>
          <w:color w:val="auto"/>
          <w:kern w:val="0"/>
          <w:sz w:val="32"/>
          <w:szCs w:val="32"/>
          <w:lang w:val="en-US" w:eastAsia="zh-CN" w:bidi="ar"/>
        </w:rPr>
        <w:t>考生及时关注浙江</w:t>
      </w:r>
      <w:r>
        <w:rPr>
          <w:rFonts w:hint="eastAsia" w:ascii="仿宋_GB2312" w:hAnsi="仿宋_GB2312" w:eastAsia="仿宋_GB2312" w:cs="仿宋_GB2312"/>
          <w:color w:val="auto"/>
          <w:kern w:val="0"/>
          <w:sz w:val="32"/>
          <w:szCs w:val="32"/>
          <w:lang w:val="en-US" w:eastAsia="zh-CN" w:bidi="ar"/>
        </w:rPr>
        <w:t>省教育考试院免试专升本通知要求，在规定时间内登录考试院官网（</w:t>
      </w:r>
      <w:r>
        <w:rPr>
          <w:rFonts w:hint="eastAsia" w:ascii="仿宋_GB2312" w:hAnsi="仿宋_GB2312" w:eastAsia="仿宋_GB2312" w:cs="仿宋_GB2312"/>
          <w:color w:val="auto"/>
          <w:kern w:val="0"/>
          <w:sz w:val="32"/>
          <w:szCs w:val="32"/>
          <w:lang w:val="en-US" w:eastAsia="zh-CN" w:bidi="ar"/>
        </w:rPr>
        <w:fldChar w:fldCharType="begin"/>
      </w:r>
      <w:r>
        <w:rPr>
          <w:rFonts w:hint="eastAsia" w:ascii="仿宋_GB2312" w:hAnsi="仿宋_GB2312" w:eastAsia="仿宋_GB2312" w:cs="仿宋_GB2312"/>
          <w:color w:val="auto"/>
          <w:kern w:val="0"/>
          <w:sz w:val="32"/>
          <w:szCs w:val="32"/>
          <w:lang w:val="en-US" w:eastAsia="zh-CN" w:bidi="ar"/>
        </w:rPr>
        <w:instrText xml:space="preserve"> HYPERLINK "http://www.zjzs.net/" \h </w:instrText>
      </w:r>
      <w:r>
        <w:rPr>
          <w:rFonts w:hint="eastAsia" w:ascii="仿宋_GB2312" w:hAnsi="仿宋_GB2312" w:eastAsia="仿宋_GB2312" w:cs="仿宋_GB2312"/>
          <w:color w:val="auto"/>
          <w:kern w:val="0"/>
          <w:sz w:val="32"/>
          <w:szCs w:val="32"/>
          <w:lang w:val="en-US" w:eastAsia="zh-CN" w:bidi="ar"/>
        </w:rPr>
        <w:fldChar w:fldCharType="separate"/>
      </w:r>
      <w:r>
        <w:rPr>
          <w:rFonts w:hint="eastAsia" w:ascii="仿宋_GB2312" w:hAnsi="仿宋_GB2312" w:eastAsia="仿宋_GB2312" w:cs="仿宋_GB2312"/>
          <w:color w:val="auto"/>
          <w:kern w:val="0"/>
          <w:sz w:val="32"/>
          <w:szCs w:val="32"/>
          <w:lang w:val="en-US" w:eastAsia="zh-CN" w:bidi="ar"/>
        </w:rPr>
        <w:t>www.zjzs.net</w:t>
      </w:r>
      <w:r>
        <w:rPr>
          <w:rFonts w:hint="eastAsia" w:ascii="仿宋_GB2312" w:hAnsi="仿宋_GB2312" w:eastAsia="仿宋_GB2312" w:cs="仿宋_GB2312"/>
          <w:color w:val="auto"/>
          <w:kern w:val="0"/>
          <w:sz w:val="32"/>
          <w:szCs w:val="32"/>
          <w:lang w:val="en-US" w:eastAsia="zh-CN" w:bidi="ar"/>
        </w:rPr>
        <w:fldChar w:fldCharType="end"/>
      </w:r>
      <w:r>
        <w:rPr>
          <w:rFonts w:hint="eastAsia" w:ascii="仿宋_GB2312" w:hAnsi="仿宋_GB2312" w:eastAsia="仿宋_GB2312" w:cs="仿宋_GB2312"/>
          <w:color w:val="auto"/>
          <w:kern w:val="0"/>
          <w:sz w:val="32"/>
          <w:szCs w:val="32"/>
          <w:lang w:val="en-US" w:eastAsia="zh-CN" w:bidi="ar"/>
        </w:rPr>
        <w:t>）报名系统，按要求如实填写报名信息，上传本人照片、退役证和高职（专科）毕业证明扫描件（应届生除外），荣立个人三等功以上者，同时上传立功证书扫描件。</w:t>
      </w:r>
    </w:p>
    <w:p>
      <w:pPr>
        <w:keepNext w:val="0"/>
        <w:keepLines w:val="0"/>
        <w:pageBreakBefore w:val="0"/>
        <w:widowControl/>
        <w:suppressLineNumbers w:val="0"/>
        <w:kinsoku/>
        <w:wordWrap/>
        <w:overflowPunct/>
        <w:topLinePunct w:val="0"/>
        <w:autoSpaceDE/>
        <w:autoSpaceDN/>
        <w:bidi w:val="0"/>
        <w:adjustRightInd w:val="0"/>
        <w:snapToGrid w:val="0"/>
        <w:spacing w:line="560" w:lineRule="exact"/>
        <w:ind w:left="0" w:right="0" w:firstLine="643" w:firstLineChars="200"/>
        <w:jc w:val="both"/>
        <w:textAlignment w:val="auto"/>
        <w:rPr>
          <w:rFonts w:hint="eastAsia" w:ascii="仿宋_GB2312" w:hAnsi="仿宋_GB2312" w:eastAsia="仿宋_GB2312" w:cs="仿宋_GB2312"/>
          <w:b/>
          <w:bCs/>
          <w:color w:val="auto"/>
          <w:kern w:val="0"/>
          <w:sz w:val="32"/>
          <w:szCs w:val="32"/>
          <w:highlight w:val="none"/>
          <w:lang w:val="en-US" w:eastAsia="zh-CN" w:bidi="ar"/>
        </w:rPr>
      </w:pPr>
      <w:r>
        <w:rPr>
          <w:rFonts w:hint="eastAsia" w:ascii="仿宋_GB2312" w:hAnsi="仿宋_GB2312" w:eastAsia="仿宋_GB2312" w:cs="仿宋_GB2312"/>
          <w:b/>
          <w:bCs/>
          <w:color w:val="auto"/>
          <w:kern w:val="0"/>
          <w:sz w:val="32"/>
          <w:szCs w:val="32"/>
          <w:highlight w:val="none"/>
          <w:lang w:val="en-US" w:eastAsia="zh-CN" w:bidi="ar"/>
        </w:rPr>
        <w:t>六、测试办法</w:t>
      </w:r>
    </w:p>
    <w:p>
      <w:pPr>
        <w:keepNext w:val="0"/>
        <w:keepLines w:val="0"/>
        <w:pageBreakBefore w:val="0"/>
        <w:widowControl/>
        <w:suppressLineNumbers w:val="0"/>
        <w:kinsoku/>
        <w:wordWrap/>
        <w:overflowPunct/>
        <w:topLinePunct w:val="0"/>
        <w:autoSpaceDE/>
        <w:autoSpaceDN/>
        <w:bidi w:val="0"/>
        <w:adjustRightInd w:val="0"/>
        <w:snapToGrid w:val="0"/>
        <w:spacing w:line="560" w:lineRule="exact"/>
        <w:ind w:left="0" w:right="0" w:firstLine="640" w:firstLineChars="200"/>
        <w:jc w:val="both"/>
        <w:textAlignment w:val="auto"/>
        <w:rPr>
          <w:rFonts w:hint="eastAsia" w:ascii="仿宋_GB2312" w:hAnsi="仿宋_GB2312" w:eastAsia="仿宋_GB2312" w:cs="仿宋_GB2312"/>
          <w:color w:val="auto"/>
          <w:kern w:val="0"/>
          <w:sz w:val="32"/>
          <w:szCs w:val="32"/>
          <w:highlight w:val="none"/>
          <w:lang w:val="en-US" w:eastAsia="zh-CN" w:bidi="ar"/>
        </w:rPr>
      </w:pPr>
      <w:r>
        <w:rPr>
          <w:rFonts w:hint="eastAsia" w:ascii="仿宋_GB2312" w:hAnsi="仿宋_GB2312" w:eastAsia="仿宋_GB2312" w:cs="仿宋_GB2312"/>
          <w:color w:val="auto"/>
          <w:kern w:val="0"/>
          <w:sz w:val="32"/>
          <w:szCs w:val="32"/>
          <w:highlight w:val="none"/>
          <w:lang w:val="en-US" w:eastAsia="zh-CN" w:bidi="ar"/>
        </w:rPr>
        <w:t>（一）若专业第一志愿填报人数小于或等于专业招生计划数，第一志愿考生免于测试，均予以预录取。</w:t>
      </w:r>
    </w:p>
    <w:p>
      <w:pPr>
        <w:keepNext w:val="0"/>
        <w:keepLines w:val="0"/>
        <w:pageBreakBefore w:val="0"/>
        <w:widowControl/>
        <w:suppressLineNumbers w:val="0"/>
        <w:kinsoku/>
        <w:wordWrap/>
        <w:overflowPunct/>
        <w:topLinePunct w:val="0"/>
        <w:autoSpaceDE/>
        <w:autoSpaceDN/>
        <w:bidi w:val="0"/>
        <w:adjustRightInd w:val="0"/>
        <w:snapToGrid w:val="0"/>
        <w:spacing w:line="560" w:lineRule="exact"/>
        <w:ind w:left="0" w:right="0" w:firstLine="640" w:firstLineChars="200"/>
        <w:jc w:val="both"/>
        <w:textAlignment w:val="auto"/>
        <w:rPr>
          <w:rFonts w:hint="eastAsia" w:ascii="仿宋_GB2312" w:hAnsi="仿宋_GB2312" w:eastAsia="仿宋_GB2312" w:cs="仿宋_GB2312"/>
          <w:color w:val="auto"/>
          <w:kern w:val="0"/>
          <w:sz w:val="32"/>
          <w:szCs w:val="32"/>
          <w:highlight w:val="none"/>
          <w:lang w:val="en-US" w:eastAsia="zh-CN" w:bidi="ar"/>
        </w:rPr>
      </w:pPr>
      <w:r>
        <w:rPr>
          <w:rFonts w:hint="eastAsia" w:ascii="仿宋_GB2312" w:hAnsi="仿宋_GB2312" w:eastAsia="仿宋_GB2312" w:cs="仿宋_GB2312"/>
          <w:color w:val="auto"/>
          <w:kern w:val="0"/>
          <w:sz w:val="32"/>
          <w:szCs w:val="32"/>
          <w:highlight w:val="none"/>
          <w:lang w:val="en-US" w:eastAsia="zh-CN" w:bidi="ar"/>
        </w:rPr>
        <w:t>（二）若专业第一志愿填报人数大于专业招生计划数，学校将根据考生专业志愿填报顺序安排测试（</w:t>
      </w:r>
      <w:r>
        <w:rPr>
          <w:rFonts w:hint="eastAsia" w:ascii="仿宋" w:hAnsi="仿宋" w:eastAsia="仿宋" w:cs="宋体"/>
          <w:color w:val="auto"/>
          <w:kern w:val="0"/>
          <w:sz w:val="32"/>
          <w:szCs w:val="32"/>
          <w:highlight w:val="none"/>
        </w:rPr>
        <w:t>入伍期间</w:t>
      </w:r>
      <w:r>
        <w:rPr>
          <w:rFonts w:ascii="仿宋_GB2312" w:hAnsi="仿宋_GB2312" w:eastAsia="仿宋_GB2312" w:cs="仿宋_GB2312"/>
          <w:color w:val="auto"/>
          <w:kern w:val="0"/>
          <w:sz w:val="32"/>
          <w:szCs w:val="32"/>
          <w:highlight w:val="none"/>
          <w:lang w:bidi="ar"/>
        </w:rPr>
        <w:t>荣立三等功</w:t>
      </w:r>
      <w:r>
        <w:rPr>
          <w:rFonts w:hint="eastAsia" w:ascii="仿宋_GB2312" w:hAnsi="仿宋_GB2312" w:eastAsia="仿宋_GB2312" w:cs="仿宋_GB2312"/>
          <w:color w:val="auto"/>
          <w:kern w:val="0"/>
          <w:sz w:val="32"/>
          <w:szCs w:val="32"/>
          <w:highlight w:val="none"/>
          <w:lang w:bidi="ar"/>
        </w:rPr>
        <w:t>及</w:t>
      </w:r>
      <w:r>
        <w:rPr>
          <w:rFonts w:ascii="仿宋_GB2312" w:hAnsi="仿宋_GB2312" w:eastAsia="仿宋_GB2312" w:cs="仿宋_GB2312"/>
          <w:color w:val="auto"/>
          <w:kern w:val="0"/>
          <w:sz w:val="32"/>
          <w:szCs w:val="32"/>
          <w:highlight w:val="none"/>
          <w:lang w:bidi="ar"/>
        </w:rPr>
        <w:t>以上的考生免于测试</w:t>
      </w:r>
      <w:r>
        <w:rPr>
          <w:rFonts w:hint="eastAsia" w:ascii="仿宋_GB2312" w:hAnsi="仿宋_GB2312" w:eastAsia="仿宋_GB2312" w:cs="仿宋_GB2312"/>
          <w:color w:val="auto"/>
          <w:kern w:val="0"/>
          <w:sz w:val="32"/>
          <w:szCs w:val="32"/>
          <w:highlight w:val="none"/>
          <w:lang w:eastAsia="zh-CN" w:bidi="ar"/>
        </w:rPr>
        <w:t>）</w:t>
      </w:r>
      <w:r>
        <w:rPr>
          <w:rFonts w:hint="eastAsia" w:ascii="仿宋_GB2312" w:hAnsi="仿宋_GB2312" w:eastAsia="仿宋_GB2312" w:cs="仿宋_GB2312"/>
          <w:color w:val="auto"/>
          <w:kern w:val="0"/>
          <w:sz w:val="32"/>
          <w:szCs w:val="32"/>
          <w:highlight w:val="none"/>
          <w:lang w:val="en-US" w:eastAsia="zh-CN" w:bidi="ar"/>
        </w:rPr>
        <w:t>。</w:t>
      </w:r>
    </w:p>
    <w:p>
      <w:pPr>
        <w:keepNext w:val="0"/>
        <w:keepLines w:val="0"/>
        <w:pageBreakBefore w:val="0"/>
        <w:widowControl/>
        <w:suppressLineNumbers w:val="0"/>
        <w:kinsoku/>
        <w:wordWrap/>
        <w:overflowPunct/>
        <w:topLinePunct w:val="0"/>
        <w:autoSpaceDE/>
        <w:autoSpaceDN/>
        <w:bidi w:val="0"/>
        <w:adjustRightInd w:val="0"/>
        <w:snapToGrid w:val="0"/>
        <w:spacing w:line="560" w:lineRule="exact"/>
        <w:ind w:left="0" w:right="0" w:firstLine="640" w:firstLineChars="200"/>
        <w:jc w:val="both"/>
        <w:textAlignment w:val="auto"/>
        <w:rPr>
          <w:rFonts w:hint="eastAsia" w:ascii="仿宋_GB2312" w:hAnsi="仿宋_GB2312" w:eastAsia="仿宋_GB2312" w:cs="仿宋_GB2312"/>
          <w:color w:val="auto"/>
          <w:kern w:val="0"/>
          <w:sz w:val="32"/>
          <w:szCs w:val="32"/>
          <w:highlight w:val="none"/>
          <w:lang w:val="en-US" w:eastAsia="zh-CN" w:bidi="ar"/>
        </w:rPr>
      </w:pPr>
      <w:r>
        <w:rPr>
          <w:rFonts w:hint="eastAsia" w:ascii="仿宋_GB2312" w:hAnsi="仿宋_GB2312" w:eastAsia="仿宋_GB2312" w:cs="仿宋_GB2312"/>
          <w:color w:val="auto"/>
          <w:kern w:val="0"/>
          <w:sz w:val="32"/>
          <w:szCs w:val="32"/>
          <w:highlight w:val="none"/>
          <w:lang w:val="en-US" w:eastAsia="zh-CN" w:bidi="ar"/>
        </w:rPr>
        <w:t>学校测试通知将在本科招生网上发布，请考生及时关注，报考专业对应测试科目如下：</w:t>
      </w:r>
    </w:p>
    <w:tbl>
      <w:tblPr>
        <w:tblStyle w:val="5"/>
        <w:tblpPr w:leftFromText="180" w:rightFromText="180" w:vertAnchor="text" w:tblpXSpec="center" w:tblpY="1"/>
        <w:tblOverlap w:val="never"/>
        <w:tblW w:w="4999" w:type="pct"/>
        <w:tblInd w:w="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autofit"/>
        <w:tblCellMar>
          <w:top w:w="0" w:type="dxa"/>
          <w:left w:w="0" w:type="dxa"/>
          <w:bottom w:w="0" w:type="dxa"/>
          <w:right w:w="0" w:type="dxa"/>
        </w:tblCellMar>
      </w:tblPr>
      <w:tblGrid>
        <w:gridCol w:w="3855"/>
        <w:gridCol w:w="4539"/>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3" w:hRule="atLeast"/>
        </w:trPr>
        <w:tc>
          <w:tcPr>
            <w:tcW w:w="2296" w:type="pct"/>
            <w:tcBorders>
              <w:top w:val="single" w:color="000000" w:sz="6" w:space="0"/>
              <w:left w:val="single" w:color="000000" w:sz="6" w:space="0"/>
              <w:bottom w:val="single" w:color="000000" w:sz="6" w:space="0"/>
              <w:right w:val="single" w:color="000000" w:sz="6" w:space="0"/>
            </w:tcBorders>
            <w:noWrap w:val="0"/>
            <w:tcMar>
              <w:top w:w="30" w:type="dxa"/>
              <w:left w:w="45" w:type="dxa"/>
              <w:bottom w:w="30" w:type="dxa"/>
              <w:right w:w="4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2" w:firstLineChars="200"/>
              <w:jc w:val="center"/>
              <w:textAlignment w:val="top"/>
              <w:rPr>
                <w:rFonts w:hint="eastAsia" w:ascii="仿宋_GB2312" w:hAnsi="仿宋_GB2312" w:eastAsia="仿宋_GB2312" w:cs="仿宋_GB2312"/>
                <w:b w:val="0"/>
                <w:bCs w:val="0"/>
                <w:color w:val="auto"/>
                <w:sz w:val="28"/>
                <w:szCs w:val="28"/>
                <w:highlight w:val="none"/>
                <w:lang w:eastAsia="zh-CN"/>
              </w:rPr>
            </w:pPr>
            <w:r>
              <w:rPr>
                <w:rStyle w:val="7"/>
                <w:rFonts w:hint="eastAsia" w:ascii="仿宋_GB2312" w:hAnsi="仿宋_GB2312" w:eastAsia="仿宋_GB2312" w:cs="仿宋_GB2312"/>
                <w:b/>
                <w:bCs/>
                <w:color w:val="auto"/>
                <w:sz w:val="28"/>
                <w:szCs w:val="28"/>
                <w:highlight w:val="none"/>
                <w:lang w:val="en-US" w:eastAsia="zh-CN"/>
              </w:rPr>
              <w:t>招生专业</w:t>
            </w:r>
          </w:p>
        </w:tc>
        <w:tc>
          <w:tcPr>
            <w:tcW w:w="2703" w:type="pct"/>
            <w:tcBorders>
              <w:top w:val="single" w:color="000000" w:sz="6" w:space="0"/>
              <w:left w:val="nil"/>
              <w:bottom w:val="single" w:color="000000" w:sz="6" w:space="0"/>
              <w:right w:val="single" w:color="000000" w:sz="6" w:space="0"/>
            </w:tcBorders>
            <w:noWrap w:val="0"/>
            <w:tcMar>
              <w:top w:w="30" w:type="dxa"/>
              <w:left w:w="45" w:type="dxa"/>
              <w:bottom w:w="30" w:type="dxa"/>
              <w:right w:w="4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2" w:firstLineChars="200"/>
              <w:jc w:val="center"/>
              <w:textAlignment w:val="top"/>
              <w:rPr>
                <w:rFonts w:hint="default" w:ascii="仿宋_GB2312" w:hAnsi="仿宋_GB2312" w:eastAsia="仿宋_GB2312" w:cs="仿宋_GB2312"/>
                <w:b w:val="0"/>
                <w:bCs w:val="0"/>
                <w:color w:val="auto"/>
                <w:sz w:val="28"/>
                <w:szCs w:val="28"/>
                <w:highlight w:val="none"/>
                <w:lang w:val="en-US"/>
              </w:rPr>
            </w:pPr>
            <w:r>
              <w:rPr>
                <w:rStyle w:val="7"/>
                <w:rFonts w:hint="eastAsia" w:ascii="仿宋_GB2312" w:hAnsi="仿宋_GB2312" w:eastAsia="仿宋_GB2312" w:cs="仿宋_GB2312"/>
                <w:b/>
                <w:bCs/>
                <w:color w:val="auto"/>
                <w:sz w:val="28"/>
                <w:szCs w:val="28"/>
                <w:highlight w:val="none"/>
                <w:lang w:val="en-US" w:eastAsia="zh-CN"/>
              </w:rPr>
              <w:t>测试科目</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3" w:hRule="atLeast"/>
        </w:trPr>
        <w:tc>
          <w:tcPr>
            <w:tcW w:w="2296" w:type="pct"/>
            <w:tcBorders>
              <w:top w:val="nil"/>
              <w:left w:val="single" w:color="000000" w:sz="6" w:space="0"/>
              <w:bottom w:val="single" w:color="000000" w:sz="6" w:space="0"/>
              <w:right w:val="single" w:color="000000" w:sz="6" w:space="0"/>
            </w:tcBorders>
            <w:noWrap w:val="0"/>
            <w:tcMar>
              <w:top w:w="30" w:type="dxa"/>
              <w:left w:w="45" w:type="dxa"/>
              <w:bottom w:w="30" w:type="dxa"/>
              <w:right w:w="4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0" w:firstLineChars="200"/>
              <w:jc w:val="center"/>
              <w:textAlignment w:val="top"/>
              <w:rPr>
                <w:rFonts w:hint="eastAsia" w:ascii="仿宋_GB2312" w:hAnsi="仿宋_GB2312" w:eastAsia="仿宋_GB2312" w:cs="仿宋_GB2312"/>
                <w:b w:val="0"/>
                <w:bCs w:val="0"/>
                <w:color w:val="auto"/>
                <w:sz w:val="28"/>
                <w:szCs w:val="28"/>
                <w:highlight w:val="none"/>
                <w:lang w:val="en-US" w:eastAsia="zh-CN"/>
              </w:rPr>
            </w:pPr>
            <w:r>
              <w:rPr>
                <w:rFonts w:hint="eastAsia" w:ascii="仿宋_GB2312" w:hAnsi="仿宋_GB2312" w:eastAsia="仿宋_GB2312" w:cs="仿宋_GB2312"/>
                <w:b w:val="0"/>
                <w:bCs w:val="0"/>
                <w:color w:val="auto"/>
                <w:sz w:val="28"/>
                <w:szCs w:val="28"/>
                <w:highlight w:val="none"/>
                <w:lang w:val="en-US" w:eastAsia="zh-CN"/>
              </w:rPr>
              <w:t>英语</w:t>
            </w:r>
          </w:p>
        </w:tc>
        <w:tc>
          <w:tcPr>
            <w:tcW w:w="2703" w:type="pct"/>
            <w:tcBorders>
              <w:top w:val="nil"/>
              <w:left w:val="nil"/>
              <w:bottom w:val="single" w:color="000000" w:sz="6" w:space="0"/>
              <w:right w:val="single" w:color="000000" w:sz="6" w:space="0"/>
            </w:tcBorders>
            <w:noWrap w:val="0"/>
            <w:tcMar>
              <w:top w:w="30" w:type="dxa"/>
              <w:left w:w="45" w:type="dxa"/>
              <w:bottom w:w="30" w:type="dxa"/>
              <w:right w:w="4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0" w:firstLineChars="200"/>
              <w:jc w:val="center"/>
              <w:textAlignment w:val="top"/>
              <w:rPr>
                <w:rFonts w:hint="eastAsia" w:ascii="仿宋_GB2312" w:hAnsi="仿宋_GB2312" w:eastAsia="仿宋_GB2312" w:cs="仿宋_GB2312"/>
                <w:b w:val="0"/>
                <w:bCs w:val="0"/>
                <w:color w:val="auto"/>
                <w:sz w:val="28"/>
                <w:szCs w:val="28"/>
                <w:highlight w:val="none"/>
                <w:lang w:val="en-US" w:eastAsia="zh-CN"/>
              </w:rPr>
            </w:pPr>
            <w:r>
              <w:rPr>
                <w:rFonts w:hint="eastAsia" w:ascii="仿宋_GB2312" w:hAnsi="仿宋_GB2312" w:eastAsia="仿宋_GB2312" w:cs="仿宋_GB2312"/>
                <w:b w:val="0"/>
                <w:bCs w:val="0"/>
                <w:color w:val="auto"/>
                <w:sz w:val="28"/>
                <w:szCs w:val="28"/>
                <w:highlight w:val="none"/>
                <w:lang w:val="en-US" w:eastAsia="zh-CN"/>
              </w:rPr>
              <w:t>英文口试</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3" w:hRule="atLeast"/>
        </w:trPr>
        <w:tc>
          <w:tcPr>
            <w:tcW w:w="2296" w:type="pct"/>
            <w:tcBorders>
              <w:top w:val="nil"/>
              <w:left w:val="single" w:color="000000" w:sz="6" w:space="0"/>
              <w:bottom w:val="single" w:color="000000" w:sz="6" w:space="0"/>
              <w:right w:val="single" w:color="000000" w:sz="6" w:space="0"/>
            </w:tcBorders>
            <w:noWrap w:val="0"/>
            <w:tcMar>
              <w:top w:w="30" w:type="dxa"/>
              <w:left w:w="45" w:type="dxa"/>
              <w:bottom w:w="30" w:type="dxa"/>
              <w:right w:w="4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0" w:firstLineChars="200"/>
              <w:jc w:val="center"/>
              <w:textAlignment w:val="top"/>
              <w:rPr>
                <w:rFonts w:hint="eastAsia" w:ascii="仿宋_GB2312" w:hAnsi="仿宋_GB2312" w:eastAsia="仿宋_GB2312" w:cs="仿宋_GB2312"/>
                <w:b w:val="0"/>
                <w:bCs w:val="0"/>
                <w:color w:val="auto"/>
                <w:sz w:val="28"/>
                <w:szCs w:val="28"/>
                <w:highlight w:val="none"/>
                <w:lang w:eastAsia="zh-CN"/>
              </w:rPr>
            </w:pPr>
            <w:r>
              <w:rPr>
                <w:rStyle w:val="7"/>
                <w:rFonts w:hint="eastAsia" w:ascii="仿宋_GB2312" w:hAnsi="仿宋_GB2312" w:eastAsia="仿宋_GB2312" w:cs="仿宋_GB2312"/>
                <w:b w:val="0"/>
                <w:bCs w:val="0"/>
                <w:color w:val="auto"/>
                <w:sz w:val="28"/>
                <w:szCs w:val="28"/>
                <w:highlight w:val="none"/>
                <w:lang w:val="en-US" w:eastAsia="zh-CN"/>
              </w:rPr>
              <w:t>汉语言文学</w:t>
            </w:r>
          </w:p>
        </w:tc>
        <w:tc>
          <w:tcPr>
            <w:tcW w:w="2703" w:type="pct"/>
            <w:tcBorders>
              <w:top w:val="nil"/>
              <w:left w:val="nil"/>
              <w:bottom w:val="single" w:color="000000" w:sz="6" w:space="0"/>
              <w:right w:val="single" w:color="000000" w:sz="6" w:space="0"/>
            </w:tcBorders>
            <w:noWrap w:val="0"/>
            <w:tcMar>
              <w:top w:w="30" w:type="dxa"/>
              <w:left w:w="45" w:type="dxa"/>
              <w:bottom w:w="30" w:type="dxa"/>
              <w:right w:w="4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0" w:firstLineChars="200"/>
              <w:jc w:val="center"/>
              <w:textAlignment w:val="top"/>
              <w:rPr>
                <w:rFonts w:hint="eastAsia" w:ascii="仿宋_GB2312" w:hAnsi="仿宋_GB2312" w:eastAsia="仿宋_GB2312" w:cs="仿宋_GB2312"/>
                <w:b w:val="0"/>
                <w:bCs w:val="0"/>
                <w:color w:val="auto"/>
                <w:sz w:val="28"/>
                <w:szCs w:val="28"/>
                <w:highlight w:val="none"/>
                <w:lang w:val="en-US" w:eastAsia="zh-CN"/>
              </w:rPr>
            </w:pPr>
            <w:r>
              <w:rPr>
                <w:rFonts w:hint="eastAsia" w:ascii="仿宋_GB2312" w:hAnsi="仿宋_GB2312" w:eastAsia="仿宋_GB2312" w:cs="仿宋_GB2312"/>
                <w:b w:val="0"/>
                <w:bCs w:val="0"/>
                <w:color w:val="auto"/>
                <w:sz w:val="28"/>
                <w:szCs w:val="28"/>
                <w:highlight w:val="none"/>
                <w:lang w:val="en-US" w:eastAsia="zh-CN"/>
              </w:rPr>
              <w:t>中文写作</w:t>
            </w:r>
          </w:p>
        </w:tc>
      </w:tr>
    </w:tbl>
    <w:p>
      <w:pPr>
        <w:keepNext w:val="0"/>
        <w:keepLines w:val="0"/>
        <w:pageBreakBefore w:val="0"/>
        <w:widowControl/>
        <w:suppressLineNumbers w:val="0"/>
        <w:kinsoku/>
        <w:wordWrap/>
        <w:overflowPunct/>
        <w:topLinePunct w:val="0"/>
        <w:autoSpaceDE/>
        <w:autoSpaceDN/>
        <w:bidi w:val="0"/>
        <w:adjustRightInd w:val="0"/>
        <w:snapToGrid w:val="0"/>
        <w:spacing w:line="560" w:lineRule="exact"/>
        <w:ind w:left="0" w:right="0" w:firstLine="643" w:firstLineChars="200"/>
        <w:jc w:val="both"/>
        <w:textAlignment w:val="auto"/>
        <w:rPr>
          <w:rFonts w:hint="eastAsia" w:ascii="仿宋_GB2312" w:hAnsi="仿宋_GB2312" w:eastAsia="仿宋_GB2312" w:cs="仿宋_GB2312"/>
          <w:color w:val="auto"/>
          <w:kern w:val="0"/>
          <w:sz w:val="32"/>
          <w:szCs w:val="32"/>
          <w:highlight w:val="none"/>
          <w:lang w:val="en-US" w:eastAsia="zh-CN" w:bidi="ar"/>
        </w:rPr>
      </w:pPr>
      <w:r>
        <w:rPr>
          <w:rFonts w:hint="eastAsia" w:ascii="仿宋_GB2312" w:hAnsi="仿宋_GB2312" w:eastAsia="仿宋_GB2312" w:cs="仿宋_GB2312"/>
          <w:b/>
          <w:bCs/>
          <w:color w:val="auto"/>
          <w:kern w:val="0"/>
          <w:sz w:val="32"/>
          <w:szCs w:val="32"/>
          <w:highlight w:val="none"/>
          <w:lang w:val="en-US" w:eastAsia="zh-CN" w:bidi="ar"/>
        </w:rPr>
        <w:t>七、志愿填报</w:t>
      </w:r>
    </w:p>
    <w:p>
      <w:pPr>
        <w:keepNext w:val="0"/>
        <w:keepLines w:val="0"/>
        <w:pageBreakBefore w:val="0"/>
        <w:widowControl/>
        <w:suppressLineNumbers w:val="0"/>
        <w:kinsoku/>
        <w:wordWrap/>
        <w:overflowPunct/>
        <w:topLinePunct w:val="0"/>
        <w:autoSpaceDE/>
        <w:autoSpaceDN/>
        <w:bidi w:val="0"/>
        <w:adjustRightInd w:val="0"/>
        <w:snapToGrid w:val="0"/>
        <w:spacing w:line="560" w:lineRule="exact"/>
        <w:ind w:left="0" w:right="0" w:firstLine="640" w:firstLineChars="200"/>
        <w:jc w:val="both"/>
        <w:textAlignment w:val="auto"/>
        <w:rPr>
          <w:rFonts w:hint="eastAsia" w:ascii="仿宋_GB2312" w:hAnsi="仿宋_GB2312" w:eastAsia="仿宋_GB2312" w:cs="仿宋_GB2312"/>
          <w:color w:val="auto"/>
          <w:kern w:val="0"/>
          <w:sz w:val="32"/>
          <w:szCs w:val="32"/>
          <w:highlight w:val="none"/>
          <w:lang w:val="en-US" w:eastAsia="zh-CN" w:bidi="ar"/>
        </w:rPr>
      </w:pPr>
      <w:r>
        <w:rPr>
          <w:rFonts w:hint="eastAsia" w:ascii="仿宋_GB2312" w:hAnsi="仿宋_GB2312" w:eastAsia="仿宋_GB2312" w:cs="仿宋_GB2312"/>
          <w:color w:val="auto"/>
          <w:kern w:val="0"/>
          <w:sz w:val="32"/>
          <w:szCs w:val="32"/>
          <w:highlight w:val="none"/>
          <w:lang w:val="en-US" w:eastAsia="zh-CN" w:bidi="ar"/>
        </w:rPr>
        <w:t>（一）填报办法。根据浙江省教育考试院要求，登录考试院官网（</w:t>
      </w:r>
      <w:r>
        <w:rPr>
          <w:rFonts w:hint="eastAsia" w:ascii="仿宋_GB2312" w:hAnsi="仿宋_GB2312" w:eastAsia="仿宋_GB2312" w:cs="仿宋_GB2312"/>
          <w:color w:val="auto"/>
          <w:kern w:val="0"/>
          <w:sz w:val="32"/>
          <w:szCs w:val="32"/>
          <w:highlight w:val="none"/>
          <w:lang w:val="en-US" w:eastAsia="zh-CN" w:bidi="ar"/>
        </w:rPr>
        <w:fldChar w:fldCharType="begin"/>
      </w:r>
      <w:r>
        <w:rPr>
          <w:rFonts w:hint="eastAsia" w:ascii="仿宋_GB2312" w:hAnsi="仿宋_GB2312" w:eastAsia="仿宋_GB2312" w:cs="仿宋_GB2312"/>
          <w:color w:val="auto"/>
          <w:kern w:val="0"/>
          <w:sz w:val="32"/>
          <w:szCs w:val="32"/>
          <w:highlight w:val="none"/>
          <w:lang w:val="en-US" w:eastAsia="zh-CN" w:bidi="ar"/>
        </w:rPr>
        <w:instrText xml:space="preserve"> HYPERLINK "http://www.zjzs.net/" \h </w:instrText>
      </w:r>
      <w:r>
        <w:rPr>
          <w:rFonts w:hint="eastAsia" w:ascii="仿宋_GB2312" w:hAnsi="仿宋_GB2312" w:eastAsia="仿宋_GB2312" w:cs="仿宋_GB2312"/>
          <w:color w:val="auto"/>
          <w:kern w:val="0"/>
          <w:sz w:val="32"/>
          <w:szCs w:val="32"/>
          <w:highlight w:val="none"/>
          <w:lang w:val="en-US" w:eastAsia="zh-CN" w:bidi="ar"/>
        </w:rPr>
        <w:fldChar w:fldCharType="separate"/>
      </w:r>
      <w:r>
        <w:rPr>
          <w:rFonts w:hint="eastAsia" w:ascii="仿宋_GB2312" w:hAnsi="仿宋_GB2312" w:eastAsia="仿宋_GB2312" w:cs="仿宋_GB2312"/>
          <w:color w:val="auto"/>
          <w:kern w:val="0"/>
          <w:sz w:val="32"/>
          <w:szCs w:val="32"/>
          <w:highlight w:val="none"/>
          <w:lang w:val="en-US" w:eastAsia="zh-CN" w:bidi="ar"/>
        </w:rPr>
        <w:t>www.zjzs.net</w:t>
      </w:r>
      <w:r>
        <w:rPr>
          <w:rFonts w:hint="eastAsia" w:ascii="仿宋_GB2312" w:hAnsi="仿宋_GB2312" w:eastAsia="仿宋_GB2312" w:cs="仿宋_GB2312"/>
          <w:color w:val="auto"/>
          <w:kern w:val="0"/>
          <w:sz w:val="32"/>
          <w:szCs w:val="32"/>
          <w:highlight w:val="none"/>
          <w:lang w:val="en-US" w:eastAsia="zh-CN" w:bidi="ar"/>
        </w:rPr>
        <w:fldChar w:fldCharType="end"/>
      </w:r>
      <w:r>
        <w:rPr>
          <w:rFonts w:hint="eastAsia" w:ascii="仿宋_GB2312" w:hAnsi="仿宋_GB2312" w:eastAsia="仿宋_GB2312" w:cs="仿宋_GB2312"/>
          <w:color w:val="auto"/>
          <w:kern w:val="0"/>
          <w:sz w:val="32"/>
          <w:szCs w:val="32"/>
          <w:highlight w:val="none"/>
          <w:lang w:val="en-US" w:eastAsia="zh-CN" w:bidi="ar"/>
        </w:rPr>
        <w:t>）志愿填报系统进行填报。</w:t>
      </w:r>
    </w:p>
    <w:p>
      <w:pPr>
        <w:keepNext w:val="0"/>
        <w:keepLines w:val="0"/>
        <w:pageBreakBefore w:val="0"/>
        <w:widowControl/>
        <w:suppressLineNumbers w:val="0"/>
        <w:kinsoku/>
        <w:wordWrap/>
        <w:overflowPunct/>
        <w:topLinePunct w:val="0"/>
        <w:autoSpaceDE/>
        <w:autoSpaceDN/>
        <w:bidi w:val="0"/>
        <w:adjustRightInd w:val="0"/>
        <w:snapToGrid w:val="0"/>
        <w:spacing w:line="560" w:lineRule="exact"/>
        <w:ind w:left="0" w:right="0" w:firstLine="640" w:firstLineChars="200"/>
        <w:jc w:val="both"/>
        <w:textAlignment w:val="auto"/>
        <w:rPr>
          <w:rFonts w:hint="eastAsia" w:ascii="仿宋_GB2312" w:hAnsi="仿宋_GB2312" w:eastAsia="仿宋_GB2312" w:cs="仿宋_GB2312"/>
          <w:color w:val="auto"/>
          <w:kern w:val="0"/>
          <w:sz w:val="32"/>
          <w:szCs w:val="32"/>
          <w:highlight w:val="none"/>
          <w:lang w:val="en-US" w:eastAsia="zh-CN" w:bidi="ar"/>
        </w:rPr>
      </w:pPr>
      <w:r>
        <w:rPr>
          <w:rFonts w:hint="eastAsia" w:ascii="仿宋_GB2312" w:hAnsi="仿宋_GB2312" w:eastAsia="仿宋_GB2312" w:cs="仿宋_GB2312"/>
          <w:color w:val="auto"/>
          <w:kern w:val="0"/>
          <w:sz w:val="32"/>
          <w:szCs w:val="32"/>
          <w:highlight w:val="none"/>
          <w:lang w:val="en-US" w:eastAsia="zh-CN" w:bidi="ar"/>
        </w:rPr>
        <w:t>（二）填报要求。考生只能按本人报名时所选的类别，填报该类别内的志愿，跨类别填报的志愿无效。</w:t>
      </w:r>
    </w:p>
    <w:p>
      <w:pPr>
        <w:keepNext w:val="0"/>
        <w:keepLines w:val="0"/>
        <w:pageBreakBefore w:val="0"/>
        <w:widowControl/>
        <w:suppressLineNumbers w:val="0"/>
        <w:kinsoku/>
        <w:wordWrap/>
        <w:overflowPunct/>
        <w:topLinePunct w:val="0"/>
        <w:autoSpaceDE/>
        <w:autoSpaceDN/>
        <w:bidi w:val="0"/>
        <w:adjustRightInd w:val="0"/>
        <w:snapToGrid w:val="0"/>
        <w:spacing w:line="560" w:lineRule="exact"/>
        <w:ind w:left="0" w:right="0" w:firstLine="643" w:firstLineChars="200"/>
        <w:jc w:val="both"/>
        <w:textAlignment w:val="auto"/>
        <w:rPr>
          <w:rFonts w:hint="eastAsia" w:ascii="仿宋_GB2312" w:hAnsi="仿宋_GB2312" w:eastAsia="仿宋_GB2312" w:cs="仿宋_GB2312"/>
          <w:b/>
          <w:bCs/>
          <w:color w:val="auto"/>
          <w:kern w:val="0"/>
          <w:sz w:val="32"/>
          <w:szCs w:val="32"/>
          <w:highlight w:val="none"/>
          <w:lang w:val="en-US" w:eastAsia="zh-CN" w:bidi="ar"/>
        </w:rPr>
      </w:pPr>
      <w:r>
        <w:rPr>
          <w:rFonts w:hint="eastAsia" w:ascii="仿宋_GB2312" w:hAnsi="仿宋_GB2312" w:eastAsia="仿宋_GB2312" w:cs="仿宋_GB2312"/>
          <w:b/>
          <w:bCs/>
          <w:color w:val="auto"/>
          <w:kern w:val="0"/>
          <w:sz w:val="32"/>
          <w:szCs w:val="32"/>
          <w:highlight w:val="none"/>
          <w:lang w:val="en-US" w:eastAsia="zh-CN" w:bidi="ar"/>
        </w:rPr>
        <w:t>八、录取规则</w:t>
      </w:r>
    </w:p>
    <w:p>
      <w:pPr>
        <w:keepNext w:val="0"/>
        <w:keepLines w:val="0"/>
        <w:pageBreakBefore w:val="0"/>
        <w:widowControl/>
        <w:suppressLineNumbers w:val="0"/>
        <w:kinsoku/>
        <w:wordWrap/>
        <w:overflowPunct/>
        <w:topLinePunct w:val="0"/>
        <w:autoSpaceDE/>
        <w:autoSpaceDN/>
        <w:bidi w:val="0"/>
        <w:adjustRightInd w:val="0"/>
        <w:snapToGrid w:val="0"/>
        <w:spacing w:line="560" w:lineRule="exact"/>
        <w:ind w:left="0" w:right="0" w:firstLine="640" w:firstLineChars="200"/>
        <w:jc w:val="both"/>
        <w:textAlignment w:val="auto"/>
        <w:rPr>
          <w:rFonts w:hint="eastAsia" w:ascii="仿宋_GB2312" w:hAnsi="仿宋_GB2312" w:eastAsia="仿宋_GB2312" w:cs="仿宋_GB2312"/>
          <w:color w:val="auto"/>
          <w:kern w:val="0"/>
          <w:sz w:val="32"/>
          <w:szCs w:val="32"/>
          <w:highlight w:val="none"/>
          <w:lang w:val="en-US" w:eastAsia="zh-CN" w:bidi="ar"/>
        </w:rPr>
      </w:pPr>
      <w:r>
        <w:rPr>
          <w:rFonts w:hint="eastAsia" w:ascii="仿宋_GB2312" w:hAnsi="仿宋_GB2312" w:eastAsia="仿宋_GB2312" w:cs="仿宋_GB2312"/>
          <w:color w:val="auto"/>
          <w:kern w:val="0"/>
          <w:sz w:val="32"/>
          <w:szCs w:val="32"/>
          <w:highlight w:val="none"/>
          <w:lang w:val="en-US" w:eastAsia="zh-CN" w:bidi="ar"/>
        </w:rPr>
        <w:t>（一）符合报名条件，且荣立三等功及以上的考生免于测试，优先录取。</w:t>
      </w:r>
    </w:p>
    <w:p>
      <w:pPr>
        <w:keepNext w:val="0"/>
        <w:keepLines w:val="0"/>
        <w:pageBreakBefore w:val="0"/>
        <w:widowControl/>
        <w:suppressLineNumbers w:val="0"/>
        <w:kinsoku/>
        <w:wordWrap/>
        <w:overflowPunct/>
        <w:topLinePunct w:val="0"/>
        <w:autoSpaceDE/>
        <w:autoSpaceDN/>
        <w:bidi w:val="0"/>
        <w:adjustRightInd w:val="0"/>
        <w:snapToGrid w:val="0"/>
        <w:spacing w:line="560" w:lineRule="exact"/>
        <w:ind w:left="0" w:right="0" w:firstLine="640" w:firstLineChars="200"/>
        <w:jc w:val="both"/>
        <w:textAlignment w:val="auto"/>
        <w:rPr>
          <w:rFonts w:hint="eastAsia" w:ascii="仿宋_GB2312" w:hAnsi="仿宋_GB2312" w:eastAsia="仿宋_GB2312" w:cs="仿宋_GB2312"/>
          <w:color w:val="auto"/>
          <w:kern w:val="0"/>
          <w:sz w:val="32"/>
          <w:szCs w:val="32"/>
          <w:highlight w:val="none"/>
          <w:lang w:val="en-US" w:eastAsia="zh-CN" w:bidi="ar"/>
        </w:rPr>
      </w:pPr>
      <w:r>
        <w:rPr>
          <w:rFonts w:hint="eastAsia" w:ascii="仿宋_GB2312" w:hAnsi="仿宋_GB2312" w:eastAsia="仿宋_GB2312" w:cs="仿宋_GB2312"/>
          <w:color w:val="auto"/>
          <w:kern w:val="0"/>
          <w:sz w:val="32"/>
          <w:szCs w:val="32"/>
          <w:highlight w:val="none"/>
          <w:lang w:val="en-US" w:eastAsia="zh-CN" w:bidi="ar"/>
        </w:rPr>
        <w:t>（二）其他符合报名条件的考生，视专业志愿填报情况决定是否安排测试。如需安排测试，则遵循考生专业志愿优先原则，按专业测试科目成绩择优录取（同分带入）。</w:t>
      </w:r>
    </w:p>
    <w:p>
      <w:pPr>
        <w:keepNext w:val="0"/>
        <w:keepLines w:val="0"/>
        <w:pageBreakBefore w:val="0"/>
        <w:widowControl/>
        <w:suppressLineNumbers w:val="0"/>
        <w:kinsoku/>
        <w:wordWrap/>
        <w:overflowPunct/>
        <w:topLinePunct w:val="0"/>
        <w:autoSpaceDE/>
        <w:autoSpaceDN/>
        <w:bidi w:val="0"/>
        <w:adjustRightInd w:val="0"/>
        <w:snapToGrid w:val="0"/>
        <w:spacing w:line="560" w:lineRule="exact"/>
        <w:ind w:left="0" w:right="0" w:firstLine="640" w:firstLineChars="200"/>
        <w:jc w:val="both"/>
        <w:textAlignment w:val="auto"/>
        <w:rPr>
          <w:rFonts w:hint="eastAsia" w:ascii="仿宋_GB2312" w:hAnsi="仿宋_GB2312" w:eastAsia="仿宋_GB2312" w:cs="仿宋_GB2312"/>
          <w:color w:val="auto"/>
          <w:kern w:val="0"/>
          <w:sz w:val="32"/>
          <w:szCs w:val="32"/>
          <w:highlight w:val="none"/>
          <w:lang w:val="en-US" w:eastAsia="zh-CN" w:bidi="ar"/>
        </w:rPr>
      </w:pPr>
      <w:r>
        <w:rPr>
          <w:rFonts w:hint="eastAsia" w:ascii="仿宋_GB2312" w:hAnsi="仿宋_GB2312" w:eastAsia="仿宋_GB2312" w:cs="仿宋_GB2312"/>
          <w:color w:val="auto"/>
          <w:kern w:val="0"/>
          <w:sz w:val="32"/>
          <w:szCs w:val="32"/>
          <w:highlight w:val="none"/>
          <w:lang w:val="en-US" w:eastAsia="zh-CN" w:bidi="ar"/>
        </w:rPr>
        <w:t>（三）当我校第一志愿录取未满时，将进行后续志愿录取，测试及录取规则按第一志愿录取的工作流程进行，以此类推，直至第三志愿结束。学校拟录取结果按照教育部和浙江省教育考试院的相关要求进行公布，考生可登陆学校本科招生网查询。</w:t>
      </w:r>
    </w:p>
    <w:p>
      <w:pPr>
        <w:keepNext w:val="0"/>
        <w:keepLines w:val="0"/>
        <w:pageBreakBefore w:val="0"/>
        <w:widowControl/>
        <w:suppressLineNumbers w:val="0"/>
        <w:kinsoku/>
        <w:wordWrap/>
        <w:overflowPunct/>
        <w:topLinePunct w:val="0"/>
        <w:autoSpaceDE/>
        <w:autoSpaceDN/>
        <w:bidi w:val="0"/>
        <w:adjustRightInd w:val="0"/>
        <w:snapToGrid w:val="0"/>
        <w:spacing w:line="560" w:lineRule="exact"/>
        <w:ind w:left="0" w:right="0" w:firstLine="640" w:firstLineChars="200"/>
        <w:jc w:val="both"/>
        <w:textAlignment w:val="auto"/>
        <w:rPr>
          <w:rFonts w:hint="eastAsia" w:ascii="仿宋_GB2312" w:hAnsi="仿宋_GB2312" w:eastAsia="仿宋_GB2312" w:cs="仿宋_GB2312"/>
          <w:color w:val="auto"/>
          <w:kern w:val="0"/>
          <w:sz w:val="32"/>
          <w:szCs w:val="32"/>
          <w:highlight w:val="none"/>
          <w:lang w:val="en-US" w:eastAsia="zh-CN" w:bidi="ar"/>
        </w:rPr>
      </w:pPr>
      <w:r>
        <w:rPr>
          <w:rFonts w:hint="eastAsia" w:ascii="仿宋_GB2312" w:hAnsi="仿宋_GB2312" w:eastAsia="仿宋_GB2312" w:cs="仿宋_GB2312"/>
          <w:color w:val="auto"/>
          <w:kern w:val="0"/>
          <w:sz w:val="32"/>
          <w:szCs w:val="32"/>
          <w:highlight w:val="none"/>
          <w:lang w:val="en-US" w:eastAsia="zh-CN" w:bidi="ar"/>
        </w:rPr>
        <w:t>（四）对非应届考生，学校于4月中旬前公布正式录取结果，并寄发录取通知书。对预录取的应届毕业生，由就读高校于7月5日前完成高职（专科）毕业资格审核确认，并报浙江省教育厅职成教处复核，我校按审核通过的名单办理录取手续，寄发录取通知书；不能如期毕业的取消录取资格。</w:t>
      </w:r>
    </w:p>
    <w:p>
      <w:pPr>
        <w:pStyle w:val="2"/>
        <w:keepNext w:val="0"/>
        <w:keepLines w:val="0"/>
        <w:pageBreakBefore w:val="0"/>
        <w:kinsoku/>
        <w:wordWrap/>
        <w:overflowPunct/>
        <w:topLinePunct w:val="0"/>
        <w:autoSpaceDE/>
        <w:autoSpaceDN/>
        <w:bidi w:val="0"/>
        <w:spacing w:line="560" w:lineRule="exact"/>
        <w:ind w:left="0" w:right="0" w:firstLine="643" w:firstLineChars="200"/>
        <w:jc w:val="both"/>
        <w:textAlignment w:val="auto"/>
        <w:rPr>
          <w:rFonts w:hint="eastAsia" w:ascii="仿宋_GB2312" w:hAnsi="仿宋_GB2312" w:eastAsia="仿宋_GB2312" w:cs="仿宋_GB2312"/>
          <w:b/>
          <w:bCs/>
          <w:color w:val="auto"/>
          <w:kern w:val="0"/>
          <w:sz w:val="32"/>
          <w:szCs w:val="32"/>
          <w:highlight w:val="none"/>
          <w:lang w:val="en-US" w:eastAsia="zh-CN" w:bidi="ar"/>
        </w:rPr>
      </w:pPr>
      <w:r>
        <w:rPr>
          <w:rFonts w:hint="eastAsia" w:ascii="仿宋_GB2312" w:hAnsi="仿宋_GB2312" w:eastAsia="仿宋_GB2312" w:cs="仿宋_GB2312"/>
          <w:b/>
          <w:bCs/>
          <w:color w:val="auto"/>
          <w:kern w:val="0"/>
          <w:sz w:val="32"/>
          <w:szCs w:val="32"/>
          <w:highlight w:val="none"/>
          <w:lang w:val="en-US" w:eastAsia="zh-CN" w:bidi="ar"/>
        </w:rPr>
        <w:t>九、学籍管理</w:t>
      </w:r>
    </w:p>
    <w:p>
      <w:pPr>
        <w:pStyle w:val="3"/>
        <w:keepNext w:val="0"/>
        <w:keepLines w:val="0"/>
        <w:pageBreakBefore w:val="0"/>
        <w:kinsoku/>
        <w:wordWrap/>
        <w:overflowPunct/>
        <w:topLinePunct w:val="0"/>
        <w:autoSpaceDE/>
        <w:autoSpaceDN/>
        <w:bidi w:val="0"/>
        <w:spacing w:line="560" w:lineRule="exact"/>
        <w:ind w:left="0" w:right="0" w:firstLine="640" w:firstLineChars="200"/>
        <w:jc w:val="both"/>
        <w:textAlignment w:val="auto"/>
        <w:rPr>
          <w:rFonts w:hint="eastAsia" w:ascii="仿宋_GB2312" w:hAnsi="仿宋_GB2312" w:eastAsia="仿宋_GB2312" w:cs="仿宋_GB2312"/>
          <w:b w:val="0"/>
          <w:bCs w:val="0"/>
          <w:color w:val="auto"/>
          <w:kern w:val="0"/>
          <w:sz w:val="32"/>
          <w:szCs w:val="32"/>
          <w:highlight w:val="none"/>
          <w:lang w:val="en-US" w:eastAsia="zh-CN" w:bidi="ar"/>
        </w:rPr>
      </w:pPr>
      <w:r>
        <w:rPr>
          <w:rFonts w:hint="eastAsia" w:ascii="仿宋_GB2312" w:hAnsi="仿宋_GB2312" w:eastAsia="仿宋_GB2312" w:cs="仿宋_GB2312"/>
          <w:b w:val="0"/>
          <w:bCs w:val="0"/>
          <w:color w:val="auto"/>
          <w:kern w:val="0"/>
          <w:sz w:val="32"/>
          <w:szCs w:val="32"/>
          <w:highlight w:val="none"/>
          <w:lang w:val="en-US" w:eastAsia="zh-CN" w:bidi="ar"/>
        </w:rPr>
        <w:t>新生凭录取通知书、退役证件和普通高校高职（专科）毕业证书原件到我校报到注册。</w:t>
      </w:r>
    </w:p>
    <w:p>
      <w:pPr>
        <w:pStyle w:val="3"/>
        <w:keepNext w:val="0"/>
        <w:keepLines w:val="0"/>
        <w:pageBreakBefore w:val="0"/>
        <w:kinsoku/>
        <w:wordWrap/>
        <w:overflowPunct/>
        <w:topLinePunct w:val="0"/>
        <w:autoSpaceDE/>
        <w:autoSpaceDN/>
        <w:bidi w:val="0"/>
        <w:spacing w:line="560" w:lineRule="exact"/>
        <w:ind w:left="0" w:right="0" w:firstLine="640" w:firstLineChars="200"/>
        <w:jc w:val="both"/>
        <w:textAlignment w:val="auto"/>
        <w:rPr>
          <w:rFonts w:hint="eastAsia" w:ascii="仿宋_GB2312" w:hAnsi="仿宋_GB2312" w:eastAsia="仿宋_GB2312" w:cs="仿宋_GB2312"/>
          <w:b w:val="0"/>
          <w:bCs w:val="0"/>
          <w:color w:val="auto"/>
          <w:kern w:val="0"/>
          <w:sz w:val="32"/>
          <w:szCs w:val="32"/>
          <w:highlight w:val="none"/>
          <w:lang w:val="en-US" w:eastAsia="zh-CN" w:bidi="ar"/>
        </w:rPr>
      </w:pPr>
      <w:r>
        <w:rPr>
          <w:rFonts w:hint="eastAsia" w:ascii="仿宋_GB2312" w:hAnsi="仿宋_GB2312" w:eastAsia="仿宋_GB2312" w:cs="仿宋_GB2312"/>
          <w:b w:val="0"/>
          <w:bCs w:val="0"/>
          <w:color w:val="auto"/>
          <w:kern w:val="0"/>
          <w:sz w:val="32"/>
          <w:szCs w:val="32"/>
          <w:highlight w:val="none"/>
          <w:lang w:val="en-US" w:eastAsia="zh-CN" w:bidi="ar"/>
        </w:rPr>
        <w:t>免试专升本为全日制脱产学习，学制两年。学费及住宿费按同届普通专升本学生收费标准执行。毕业时发全日制普通本科毕业证书，文凭表述为“我校XX专业专科起点本科学习”，符合学位授予条件的授予学士学位。</w:t>
      </w:r>
    </w:p>
    <w:p>
      <w:pPr>
        <w:pStyle w:val="3"/>
        <w:keepNext w:val="0"/>
        <w:keepLines w:val="0"/>
        <w:pageBreakBefore w:val="0"/>
        <w:widowControl w:val="0"/>
        <w:numPr>
          <w:numId w:val="0"/>
        </w:numPr>
        <w:kinsoku/>
        <w:wordWrap/>
        <w:overflowPunct/>
        <w:topLinePunct w:val="0"/>
        <w:autoSpaceDE/>
        <w:autoSpaceDN/>
        <w:bidi w:val="0"/>
        <w:adjustRightInd/>
        <w:snapToGrid/>
        <w:spacing w:line="560" w:lineRule="exact"/>
        <w:ind w:leftChars="0" w:right="0" w:rightChars="0" w:firstLine="643" w:firstLineChars="200"/>
        <w:jc w:val="both"/>
        <w:textAlignment w:val="auto"/>
        <w:rPr>
          <w:rFonts w:hint="eastAsia" w:ascii="仿宋_GB2312" w:hAnsi="仿宋_GB2312" w:eastAsia="仿宋_GB2312" w:cs="仿宋_GB2312"/>
          <w:b/>
          <w:bCs/>
          <w:color w:val="auto"/>
          <w:kern w:val="0"/>
          <w:sz w:val="32"/>
          <w:szCs w:val="32"/>
          <w:highlight w:val="none"/>
          <w:lang w:val="en-US" w:eastAsia="zh-CN" w:bidi="ar"/>
        </w:rPr>
      </w:pPr>
      <w:r>
        <w:rPr>
          <w:rFonts w:hint="eastAsia" w:ascii="仿宋_GB2312" w:hAnsi="仿宋_GB2312" w:eastAsia="仿宋_GB2312" w:cs="仿宋_GB2312"/>
          <w:b/>
          <w:bCs/>
          <w:color w:val="auto"/>
          <w:kern w:val="0"/>
          <w:sz w:val="32"/>
          <w:szCs w:val="32"/>
          <w:highlight w:val="none"/>
          <w:lang w:val="en-US" w:eastAsia="zh-CN" w:bidi="ar"/>
        </w:rPr>
        <w:t>十、附则</w:t>
      </w:r>
    </w:p>
    <w:p>
      <w:pPr>
        <w:pStyle w:val="3"/>
        <w:keepNext w:val="0"/>
        <w:keepLines w:val="0"/>
        <w:pageBreakBefore w:val="0"/>
        <w:widowControl w:val="0"/>
        <w:numPr>
          <w:numId w:val="0"/>
        </w:numPr>
        <w:kinsoku/>
        <w:wordWrap/>
        <w:overflowPunct/>
        <w:topLinePunct w:val="0"/>
        <w:autoSpaceDE/>
        <w:autoSpaceDN/>
        <w:bidi w:val="0"/>
        <w:adjustRightInd/>
        <w:snapToGrid/>
        <w:spacing w:line="560" w:lineRule="exact"/>
        <w:ind w:leftChars="0" w:right="0" w:rightChars="0" w:firstLine="640" w:firstLineChars="200"/>
        <w:jc w:val="both"/>
        <w:textAlignment w:val="auto"/>
        <w:rPr>
          <w:rFonts w:hint="eastAsia" w:ascii="仿宋_GB2312" w:hAnsi="仿宋_GB2312" w:eastAsia="仿宋_GB2312" w:cs="仿宋_GB2312"/>
          <w:b w:val="0"/>
          <w:bCs w:val="0"/>
          <w:color w:val="auto"/>
          <w:kern w:val="0"/>
          <w:sz w:val="32"/>
          <w:szCs w:val="32"/>
          <w:highlight w:val="none"/>
          <w:lang w:val="en-US" w:eastAsia="zh-CN" w:bidi="ar"/>
        </w:rPr>
      </w:pPr>
      <w:r>
        <w:rPr>
          <w:rFonts w:hint="eastAsia" w:ascii="仿宋_GB2312" w:hAnsi="仿宋_GB2312" w:eastAsia="仿宋_GB2312" w:cs="仿宋_GB2312"/>
          <w:b w:val="0"/>
          <w:bCs w:val="0"/>
          <w:color w:val="auto"/>
          <w:kern w:val="0"/>
          <w:sz w:val="32"/>
          <w:szCs w:val="32"/>
          <w:highlight w:val="none"/>
          <w:lang w:val="en-US" w:eastAsia="zh-CN" w:bidi="ar"/>
        </w:rPr>
        <w:t>（一）学校将视疫情防控情况，保留对相关考核内容、方式、时间地点等调整的权利。</w:t>
      </w:r>
    </w:p>
    <w:p>
      <w:pPr>
        <w:pStyle w:val="3"/>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both"/>
        <w:textAlignment w:val="auto"/>
        <w:rPr>
          <w:rFonts w:hint="eastAsia" w:ascii="仿宋_GB2312" w:hAnsi="仿宋_GB2312" w:eastAsia="仿宋_GB2312" w:cs="仿宋_GB2312"/>
          <w:b w:val="0"/>
          <w:bCs w:val="0"/>
          <w:color w:val="auto"/>
          <w:kern w:val="0"/>
          <w:sz w:val="32"/>
          <w:szCs w:val="32"/>
          <w:highlight w:val="none"/>
          <w:lang w:val="en-US" w:eastAsia="zh-CN" w:bidi="ar"/>
        </w:rPr>
      </w:pPr>
      <w:r>
        <w:rPr>
          <w:rFonts w:hint="eastAsia" w:ascii="仿宋_GB2312" w:hAnsi="仿宋_GB2312" w:eastAsia="仿宋_GB2312" w:cs="仿宋_GB2312"/>
          <w:b w:val="0"/>
          <w:bCs w:val="0"/>
          <w:color w:val="auto"/>
          <w:kern w:val="0"/>
          <w:sz w:val="32"/>
          <w:szCs w:val="32"/>
          <w:highlight w:val="none"/>
          <w:lang w:val="en-US" w:eastAsia="zh-CN" w:bidi="ar"/>
        </w:rPr>
        <w:t>（二）新生入学后，学校全面复查，对不符合报考条件、报到条件、身体条件（各专业身体要求按教育部等三部委的</w:t>
      </w:r>
    </w:p>
    <w:p>
      <w:pPr>
        <w:pStyle w:val="3"/>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both"/>
        <w:textAlignment w:val="auto"/>
        <w:rPr>
          <w:rFonts w:hint="eastAsia" w:ascii="仿宋_GB2312" w:hAnsi="仿宋_GB2312" w:eastAsia="仿宋_GB2312" w:cs="仿宋_GB2312"/>
          <w:b w:val="0"/>
          <w:bCs w:val="0"/>
          <w:color w:val="auto"/>
          <w:kern w:val="0"/>
          <w:sz w:val="32"/>
          <w:szCs w:val="32"/>
          <w:highlight w:val="none"/>
          <w:lang w:val="en-US" w:eastAsia="zh-CN" w:bidi="ar"/>
        </w:rPr>
      </w:pPr>
      <w:r>
        <w:rPr>
          <w:rFonts w:hint="eastAsia" w:ascii="仿宋_GB2312" w:hAnsi="仿宋_GB2312" w:eastAsia="仿宋_GB2312" w:cs="仿宋_GB2312"/>
          <w:b w:val="0"/>
          <w:bCs w:val="0"/>
          <w:color w:val="auto"/>
          <w:kern w:val="0"/>
          <w:sz w:val="32"/>
          <w:szCs w:val="32"/>
          <w:highlight w:val="none"/>
          <w:lang w:val="en-US" w:eastAsia="zh-CN" w:bidi="ar"/>
        </w:rPr>
        <w:t>《普通高等学校招生体检工作指导意见》执行）和录取标准，以及弄虚作假、违纪舞弊者，取消其入学资格。</w:t>
      </w:r>
    </w:p>
    <w:p>
      <w:pPr>
        <w:pStyle w:val="3"/>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both"/>
        <w:textAlignment w:val="auto"/>
        <w:rPr>
          <w:rFonts w:hint="eastAsia" w:ascii="仿宋_GB2312" w:hAnsi="仿宋_GB2312" w:eastAsia="仿宋_GB2312" w:cs="仿宋_GB2312"/>
          <w:b w:val="0"/>
          <w:bCs w:val="0"/>
          <w:color w:val="auto"/>
          <w:kern w:val="0"/>
          <w:sz w:val="32"/>
          <w:szCs w:val="32"/>
          <w:highlight w:val="none"/>
          <w:lang w:val="en-US" w:eastAsia="zh-CN" w:bidi="ar"/>
        </w:rPr>
      </w:pPr>
      <w:r>
        <w:rPr>
          <w:rFonts w:hint="eastAsia" w:ascii="仿宋_GB2312" w:hAnsi="仿宋_GB2312" w:eastAsia="仿宋_GB2312" w:cs="仿宋_GB2312"/>
          <w:b w:val="0"/>
          <w:bCs w:val="0"/>
          <w:color w:val="auto"/>
          <w:kern w:val="0"/>
          <w:sz w:val="32"/>
          <w:szCs w:val="32"/>
          <w:highlight w:val="none"/>
          <w:lang w:val="en-US" w:eastAsia="zh-CN" w:bidi="ar"/>
        </w:rPr>
        <w:t>（三）学校纪检监察办公室对招生录取工作进行全程监督，监督电话：0571-87557163。</w:t>
      </w:r>
    </w:p>
    <w:p>
      <w:pPr>
        <w:pStyle w:val="3"/>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both"/>
        <w:textAlignment w:val="auto"/>
        <w:rPr>
          <w:rFonts w:hint="eastAsia" w:ascii="仿宋_GB2312" w:hAnsi="仿宋_GB2312" w:eastAsia="仿宋_GB2312" w:cs="仿宋_GB2312"/>
          <w:b w:val="0"/>
          <w:bCs w:val="0"/>
          <w:color w:val="auto"/>
          <w:kern w:val="0"/>
          <w:sz w:val="32"/>
          <w:szCs w:val="32"/>
          <w:highlight w:val="none"/>
          <w:lang w:val="en-US" w:eastAsia="zh-CN" w:bidi="ar"/>
        </w:rPr>
      </w:pPr>
      <w:r>
        <w:rPr>
          <w:rFonts w:hint="eastAsia" w:ascii="仿宋_GB2312" w:hAnsi="仿宋_GB2312" w:eastAsia="仿宋_GB2312" w:cs="仿宋_GB2312"/>
          <w:b w:val="0"/>
          <w:bCs w:val="0"/>
          <w:color w:val="auto"/>
          <w:kern w:val="0"/>
          <w:sz w:val="32"/>
          <w:szCs w:val="32"/>
          <w:highlight w:val="none"/>
          <w:lang w:val="en-US" w:eastAsia="zh-CN" w:bidi="ar"/>
        </w:rPr>
        <w:t>（四）联系办法：</w:t>
      </w:r>
    </w:p>
    <w:p>
      <w:pPr>
        <w:pStyle w:val="3"/>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both"/>
        <w:textAlignment w:val="auto"/>
        <w:rPr>
          <w:rFonts w:hint="eastAsia" w:ascii="仿宋_GB2312" w:hAnsi="仿宋_GB2312" w:eastAsia="仿宋_GB2312" w:cs="仿宋_GB2312"/>
          <w:b w:val="0"/>
          <w:bCs w:val="0"/>
          <w:color w:val="auto"/>
          <w:kern w:val="0"/>
          <w:sz w:val="32"/>
          <w:szCs w:val="32"/>
          <w:highlight w:val="none"/>
          <w:lang w:val="en-US" w:eastAsia="zh-CN" w:bidi="ar"/>
        </w:rPr>
      </w:pPr>
      <w:r>
        <w:rPr>
          <w:rFonts w:hint="eastAsia" w:ascii="仿宋_GB2312" w:hAnsi="仿宋_GB2312" w:eastAsia="仿宋_GB2312" w:cs="仿宋_GB2312"/>
          <w:b w:val="0"/>
          <w:bCs w:val="0"/>
          <w:color w:val="auto"/>
          <w:kern w:val="0"/>
          <w:sz w:val="32"/>
          <w:szCs w:val="32"/>
          <w:highlight w:val="none"/>
          <w:lang w:val="en-US" w:eastAsia="zh-CN" w:bidi="ar"/>
        </w:rPr>
        <w:t>本科招生办公室：0571-87557456、87557480。本科招生网</w:t>
      </w:r>
      <w:r>
        <w:rPr>
          <w:rFonts w:hint="eastAsia" w:ascii="仿宋_GB2312" w:hAnsi="仿宋_GB2312" w:eastAsia="仿宋_GB2312" w:cs="仿宋_GB2312"/>
          <w:b w:val="0"/>
          <w:bCs w:val="0"/>
          <w:color w:val="auto"/>
          <w:kern w:val="0"/>
          <w:sz w:val="32"/>
          <w:szCs w:val="32"/>
          <w:highlight w:val="none"/>
          <w:lang w:val="en-US" w:eastAsia="zh-CN" w:bidi="ar"/>
        </w:rPr>
        <w:fldChar w:fldCharType="begin"/>
      </w:r>
      <w:r>
        <w:rPr>
          <w:rFonts w:hint="eastAsia" w:ascii="仿宋_GB2312" w:hAnsi="仿宋_GB2312" w:eastAsia="仿宋_GB2312" w:cs="仿宋_GB2312"/>
          <w:b w:val="0"/>
          <w:bCs w:val="0"/>
          <w:color w:val="auto"/>
          <w:kern w:val="0"/>
          <w:sz w:val="32"/>
          <w:szCs w:val="32"/>
          <w:highlight w:val="none"/>
          <w:lang w:val="en-US" w:eastAsia="zh-CN" w:bidi="ar"/>
        </w:rPr>
        <w:instrText xml:space="preserve"> HYPERLINK "http://zs.zufe.edu.cn/" \h </w:instrText>
      </w:r>
      <w:r>
        <w:rPr>
          <w:rFonts w:hint="eastAsia" w:ascii="仿宋_GB2312" w:hAnsi="仿宋_GB2312" w:eastAsia="仿宋_GB2312" w:cs="仿宋_GB2312"/>
          <w:b w:val="0"/>
          <w:bCs w:val="0"/>
          <w:color w:val="auto"/>
          <w:kern w:val="0"/>
          <w:sz w:val="32"/>
          <w:szCs w:val="32"/>
          <w:highlight w:val="none"/>
          <w:lang w:val="en-US" w:eastAsia="zh-CN" w:bidi="ar"/>
        </w:rPr>
        <w:fldChar w:fldCharType="separate"/>
      </w:r>
      <w:r>
        <w:rPr>
          <w:rFonts w:hint="eastAsia" w:ascii="仿宋_GB2312" w:hAnsi="仿宋_GB2312" w:eastAsia="仿宋_GB2312" w:cs="仿宋_GB2312"/>
          <w:b w:val="0"/>
          <w:bCs w:val="0"/>
          <w:color w:val="auto"/>
          <w:kern w:val="0"/>
          <w:sz w:val="32"/>
          <w:szCs w:val="32"/>
          <w:highlight w:val="none"/>
          <w:lang w:val="en-US" w:eastAsia="zh-CN" w:bidi="ar"/>
        </w:rPr>
        <w:t>：http://zs.zufe.edu.cn</w:t>
      </w:r>
      <w:r>
        <w:rPr>
          <w:rFonts w:hint="eastAsia" w:ascii="仿宋_GB2312" w:hAnsi="仿宋_GB2312" w:eastAsia="仿宋_GB2312" w:cs="仿宋_GB2312"/>
          <w:b w:val="0"/>
          <w:bCs w:val="0"/>
          <w:color w:val="auto"/>
          <w:kern w:val="0"/>
          <w:sz w:val="32"/>
          <w:szCs w:val="32"/>
          <w:highlight w:val="none"/>
          <w:lang w:val="en-US" w:eastAsia="zh-CN" w:bidi="ar"/>
        </w:rPr>
        <w:fldChar w:fldCharType="end"/>
      </w:r>
      <w:r>
        <w:rPr>
          <w:rFonts w:hint="eastAsia" w:ascii="仿宋_GB2312" w:hAnsi="仿宋_GB2312" w:eastAsia="仿宋_GB2312" w:cs="仿宋_GB2312"/>
          <w:b w:val="0"/>
          <w:bCs w:val="0"/>
          <w:color w:val="auto"/>
          <w:kern w:val="0"/>
          <w:sz w:val="32"/>
          <w:szCs w:val="32"/>
          <w:highlight w:val="none"/>
          <w:lang w:val="en-US" w:eastAsia="zh-CN" w:bidi="ar"/>
        </w:rPr>
        <w:t>。</w:t>
      </w:r>
    </w:p>
    <w:p>
      <w:pPr>
        <w:pStyle w:val="3"/>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both"/>
        <w:textAlignment w:val="auto"/>
        <w:rPr>
          <w:rFonts w:hint="eastAsia" w:ascii="仿宋_GB2312" w:hAnsi="仿宋_GB2312" w:eastAsia="仿宋_GB2312" w:cs="仿宋_GB2312"/>
          <w:b w:val="0"/>
          <w:bCs w:val="0"/>
          <w:color w:val="auto"/>
          <w:kern w:val="0"/>
          <w:sz w:val="32"/>
          <w:szCs w:val="32"/>
          <w:highlight w:val="none"/>
          <w:lang w:val="en-US" w:eastAsia="zh-CN" w:bidi="ar"/>
        </w:rPr>
      </w:pPr>
      <w:r>
        <w:rPr>
          <w:rFonts w:hint="eastAsia" w:ascii="仿宋_GB2312" w:hAnsi="仿宋_GB2312" w:eastAsia="仿宋_GB2312" w:cs="仿宋_GB2312"/>
          <w:b w:val="0"/>
          <w:bCs w:val="0"/>
          <w:color w:val="auto"/>
          <w:kern w:val="0"/>
          <w:sz w:val="32"/>
          <w:szCs w:val="32"/>
          <w:highlight w:val="none"/>
          <w:lang w:val="en-US" w:eastAsia="zh-CN" w:bidi="ar"/>
        </w:rPr>
        <w:t>地址：杭州市下沙高教园区学源街18号浙江财经大学</w:t>
      </w:r>
    </w:p>
    <w:p>
      <w:pPr>
        <w:pStyle w:val="3"/>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both"/>
        <w:textAlignment w:val="auto"/>
        <w:rPr>
          <w:rFonts w:hint="eastAsia" w:ascii="仿宋_GB2312" w:hAnsi="仿宋_GB2312" w:eastAsia="仿宋_GB2312" w:cs="仿宋_GB2312"/>
          <w:b w:val="0"/>
          <w:bCs w:val="0"/>
          <w:color w:val="auto"/>
          <w:kern w:val="0"/>
          <w:sz w:val="32"/>
          <w:szCs w:val="32"/>
          <w:highlight w:val="none"/>
          <w:lang w:val="en-US" w:eastAsia="zh-CN" w:bidi="ar"/>
        </w:rPr>
      </w:pPr>
      <w:r>
        <w:rPr>
          <w:rFonts w:hint="eastAsia" w:ascii="仿宋_GB2312" w:hAnsi="仿宋_GB2312" w:eastAsia="仿宋_GB2312" w:cs="仿宋_GB2312"/>
          <w:b w:val="0"/>
          <w:bCs w:val="0"/>
          <w:color w:val="auto"/>
          <w:kern w:val="0"/>
          <w:sz w:val="32"/>
          <w:szCs w:val="32"/>
          <w:highlight w:val="none"/>
          <w:lang w:val="en-US" w:eastAsia="zh-CN" w:bidi="ar"/>
        </w:rPr>
        <w:t>本科招生办公室。</w:t>
      </w:r>
    </w:p>
    <w:p>
      <w:pPr>
        <w:pStyle w:val="3"/>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both"/>
        <w:textAlignment w:val="auto"/>
        <w:rPr>
          <w:rFonts w:hint="eastAsia" w:ascii="仿宋_GB2312" w:hAnsi="仿宋_GB2312" w:eastAsia="仿宋_GB2312" w:cs="仿宋_GB2312"/>
          <w:b w:val="0"/>
          <w:bCs w:val="0"/>
          <w:color w:val="auto"/>
          <w:kern w:val="0"/>
          <w:sz w:val="32"/>
          <w:szCs w:val="32"/>
          <w:highlight w:val="none"/>
          <w:lang w:val="en-US" w:eastAsia="zh-CN" w:bidi="ar"/>
        </w:rPr>
      </w:pPr>
      <w:r>
        <w:rPr>
          <w:rFonts w:hint="eastAsia" w:ascii="仿宋_GB2312" w:hAnsi="仿宋_GB2312" w:eastAsia="仿宋_GB2312" w:cs="仿宋_GB2312"/>
          <w:b w:val="0"/>
          <w:bCs w:val="0"/>
          <w:color w:val="auto"/>
          <w:kern w:val="0"/>
          <w:sz w:val="32"/>
          <w:szCs w:val="32"/>
          <w:highlight w:val="none"/>
          <w:lang w:val="en-US" w:eastAsia="zh-CN" w:bidi="ar"/>
        </w:rPr>
        <w:t>本简章自公布之日起施行，由学校本科招生办公室负责解释。本简章若有与国家和上级有关政策不一致之处，以国家和上级有关政策为准。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kern w:val="0"/>
          <w:sz w:val="32"/>
          <w:szCs w:val="32"/>
          <w:highlight w:val="none"/>
          <w:lang w:val="en-US" w:eastAsia="zh-CN" w:bidi="ar"/>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0000600000000000000"/>
    <w:charset w:val="86"/>
    <w:family w:val="auto"/>
    <w:pitch w:val="default"/>
    <w:sig w:usb0="00000000" w:usb1="00000000" w:usb2="00000012" w:usb3="00000000" w:csb0="00160001" w:csb1="12030000"/>
  </w:font>
  <w:font w:name="仿宋_GB2312">
    <w:altName w:val="仿宋"/>
    <w:panose1 w:val="02010609030101010101"/>
    <w:charset w:val="86"/>
    <w:family w:val="modern"/>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C950ABF"/>
    <w:multiLevelType w:val="singleLevel"/>
    <w:tmpl w:val="3C950ABF"/>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CC74D7"/>
    <w:rsid w:val="07B86C17"/>
    <w:rsid w:val="0FE04B16"/>
    <w:rsid w:val="138A219E"/>
    <w:rsid w:val="14890C3D"/>
    <w:rsid w:val="34A4013E"/>
    <w:rsid w:val="58CC74D7"/>
    <w:rsid w:val="5B81772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1"/>
    <w:pPr>
      <w:ind w:left="800"/>
      <w:outlineLvl w:val="1"/>
    </w:pPr>
    <w:rPr>
      <w:rFonts w:ascii="仿宋" w:hAnsi="仿宋" w:eastAsia="仿宋" w:cs="仿宋"/>
      <w:b/>
      <w:bCs/>
      <w:sz w:val="32"/>
      <w:szCs w:val="32"/>
      <w:lang w:val="zh-CN" w:eastAsia="zh-CN" w:bidi="zh-CN"/>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3">
    <w:name w:val="Body Text"/>
    <w:basedOn w:val="1"/>
    <w:qFormat/>
    <w:uiPriority w:val="1"/>
    <w:pPr>
      <w:ind w:left="160" w:firstLine="640"/>
    </w:pPr>
    <w:rPr>
      <w:rFonts w:ascii="仿宋" w:hAnsi="仿宋" w:eastAsia="仿宋" w:cs="仿宋"/>
      <w:sz w:val="32"/>
      <w:szCs w:val="32"/>
      <w:lang w:val="zh-CN" w:eastAsia="zh-CN" w:bidi="zh-CN"/>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qFormat/>
    <w:uiPriority w:val="22"/>
    <w:rPr>
      <w:b/>
      <w:bCs/>
    </w:rPr>
  </w:style>
  <w:style w:type="paragraph" w:customStyle="1" w:styleId="8">
    <w:name w:val="Table Paragraph"/>
    <w:basedOn w:val="1"/>
    <w:qFormat/>
    <w:uiPriority w:val="1"/>
    <w:pPr>
      <w:spacing w:before="117"/>
      <w:ind w:right="87"/>
      <w:jc w:val="center"/>
    </w:pPr>
    <w:rPr>
      <w:rFonts w:ascii="仿宋" w:hAnsi="仿宋" w:eastAsia="仿宋" w:cs="仿宋"/>
      <w:lang w:val="zh-CN" w:eastAsia="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2026</Words>
  <Characters>2141</Characters>
  <Lines>0</Lines>
  <Paragraphs>0</Paragraphs>
  <TotalTime>23</TotalTime>
  <ScaleCrop>false</ScaleCrop>
  <LinksUpToDate>false</LinksUpToDate>
  <CharactersWithSpaces>2141</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2022-01-29T05:28:00Z</dcterms:created>
  <dc:creator>InTomato</dc:creator>
  <cp:lastModifiedBy>InTomato</cp:lastModifiedBy>
  <dcterms:modified xsi:type="dcterms:W3CDTF">2022-01-29T07:06:29Z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46A0559C9B4F428AB5C59FD9AB16A8CE</vt:lpwstr>
  </property>
</Properties>
</file>