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beforeAutospacing="0" w:after="0" w:afterAutospacing="0" w:line="360" w:lineRule="auto"/>
        <w:jc w:val="center"/>
        <w:rPr>
          <w:rFonts w:ascii="仿宋_GB2312" w:hAnsi="楷体" w:eastAsia="仿宋_GB2312"/>
          <w:b/>
          <w:bCs/>
          <w:kern w:val="36"/>
          <w:sz w:val="28"/>
          <w:szCs w:val="28"/>
        </w:rPr>
      </w:pPr>
      <w:r>
        <w:rPr>
          <w:rFonts w:hint="eastAsia" w:ascii="仿宋_GB2312" w:hAnsi="楷体" w:eastAsia="仿宋_GB2312"/>
          <w:b/>
          <w:bCs/>
          <w:kern w:val="36"/>
          <w:sz w:val="28"/>
          <w:szCs w:val="28"/>
        </w:rPr>
        <w:t>同济大学浙江学院2022年退役大学生士兵免试专升本招生章程</w:t>
      </w:r>
    </w:p>
    <w:p>
      <w:pPr>
        <w:widowControl/>
        <w:adjustRightInd w:val="0"/>
        <w:spacing w:line="360" w:lineRule="auto"/>
        <w:rPr>
          <w:rFonts w:ascii="仿宋_GB2312" w:hAnsi="楷体" w:eastAsia="仿宋_GB2312" w:cs="宋体"/>
          <w:bCs/>
          <w:kern w:val="0"/>
          <w:sz w:val="24"/>
          <w:szCs w:val="24"/>
        </w:rPr>
      </w:pPr>
      <w:r>
        <w:rPr>
          <w:rFonts w:hint="eastAsia" w:ascii="仿宋_GB2312" w:hAnsi="楷体" w:eastAsia="仿宋_GB2312" w:cs="宋体"/>
          <w:bCs/>
          <w:kern w:val="0"/>
          <w:sz w:val="24"/>
          <w:szCs w:val="24"/>
        </w:rPr>
        <w:t>学校全称：同济大学浙江学院</w:t>
      </w:r>
    </w:p>
    <w:p>
      <w:pPr>
        <w:widowControl/>
        <w:adjustRightInd w:val="0"/>
        <w:spacing w:line="360" w:lineRule="auto"/>
        <w:rPr>
          <w:rFonts w:ascii="仿宋_GB2312" w:hAnsi="楷体" w:eastAsia="仿宋_GB2312" w:cs="宋体"/>
          <w:bCs/>
          <w:kern w:val="0"/>
          <w:sz w:val="24"/>
          <w:szCs w:val="24"/>
        </w:rPr>
      </w:pPr>
      <w:r>
        <w:rPr>
          <w:rFonts w:hint="eastAsia" w:ascii="仿宋_GB2312" w:hAnsi="楷体" w:eastAsia="仿宋_GB2312" w:cs="宋体"/>
          <w:bCs/>
          <w:kern w:val="0"/>
          <w:sz w:val="24"/>
          <w:szCs w:val="24"/>
        </w:rPr>
        <w:t>学校代码：</w:t>
      </w:r>
      <w:r>
        <w:rPr>
          <w:rFonts w:ascii="仿宋_GB2312" w:hAnsi="楷体" w:eastAsia="仿宋_GB2312" w:cs="宋体"/>
          <w:bCs/>
          <w:kern w:val="0"/>
          <w:sz w:val="24"/>
          <w:szCs w:val="24"/>
        </w:rPr>
        <w:t>14206</w:t>
      </w:r>
    </w:p>
    <w:p>
      <w:pPr>
        <w:widowControl/>
        <w:adjustRightInd w:val="0"/>
        <w:spacing w:line="360" w:lineRule="auto"/>
        <w:rPr>
          <w:rFonts w:ascii="仿宋_GB2312" w:hAnsi="楷体" w:eastAsia="仿宋_GB2312" w:cs="宋体"/>
          <w:bCs/>
          <w:kern w:val="0"/>
          <w:sz w:val="24"/>
          <w:szCs w:val="24"/>
        </w:rPr>
      </w:pPr>
      <w:r>
        <w:rPr>
          <w:rFonts w:hint="eastAsia" w:ascii="仿宋_GB2312" w:hAnsi="楷体" w:eastAsia="仿宋_GB2312" w:cs="宋体"/>
          <w:bCs/>
          <w:kern w:val="0"/>
          <w:sz w:val="24"/>
          <w:szCs w:val="24"/>
        </w:rPr>
        <w:t>浙江省招生代码：</w:t>
      </w:r>
      <w:r>
        <w:rPr>
          <w:rFonts w:ascii="仿宋_GB2312" w:hAnsi="楷体" w:eastAsia="仿宋_GB2312" w:cs="宋体"/>
          <w:bCs/>
          <w:kern w:val="0"/>
          <w:sz w:val="24"/>
          <w:szCs w:val="24"/>
        </w:rPr>
        <w:t>0185</w:t>
      </w:r>
    </w:p>
    <w:p>
      <w:pPr>
        <w:widowControl/>
        <w:adjustRightInd w:val="0"/>
        <w:spacing w:line="360" w:lineRule="auto"/>
        <w:rPr>
          <w:rFonts w:ascii="仿宋_GB2312" w:hAnsi="楷体" w:eastAsia="仿宋_GB2312" w:cs="宋体"/>
          <w:bCs/>
          <w:kern w:val="0"/>
          <w:sz w:val="24"/>
          <w:szCs w:val="24"/>
        </w:rPr>
      </w:pPr>
      <w:r>
        <w:rPr>
          <w:rFonts w:hint="eastAsia" w:ascii="仿宋_GB2312" w:hAnsi="楷体" w:eastAsia="仿宋_GB2312" w:cs="宋体"/>
          <w:bCs/>
          <w:kern w:val="0"/>
          <w:sz w:val="24"/>
          <w:szCs w:val="24"/>
        </w:rPr>
        <w:t>校址：浙江省嘉兴市商务大道</w:t>
      </w:r>
      <w:r>
        <w:rPr>
          <w:rFonts w:ascii="仿宋_GB2312" w:hAnsi="楷体" w:eastAsia="仿宋_GB2312" w:cs="宋体"/>
          <w:bCs/>
          <w:kern w:val="0"/>
          <w:sz w:val="24"/>
          <w:szCs w:val="24"/>
        </w:rPr>
        <w:t>168</w:t>
      </w:r>
      <w:r>
        <w:rPr>
          <w:rFonts w:hint="eastAsia" w:ascii="仿宋_GB2312" w:hAnsi="楷体" w:eastAsia="仿宋_GB2312" w:cs="宋体"/>
          <w:bCs/>
          <w:kern w:val="0"/>
          <w:sz w:val="24"/>
          <w:szCs w:val="24"/>
        </w:rPr>
        <w:t>号</w:t>
      </w:r>
    </w:p>
    <w:p>
      <w:pPr>
        <w:widowControl/>
        <w:adjustRightInd w:val="0"/>
        <w:spacing w:line="360" w:lineRule="auto"/>
        <w:rPr>
          <w:rFonts w:ascii="仿宋_GB2312" w:hAnsi="楷体" w:eastAsia="仿宋_GB2312" w:cs="宋体"/>
          <w:bCs/>
          <w:kern w:val="0"/>
          <w:sz w:val="24"/>
          <w:szCs w:val="24"/>
        </w:rPr>
      </w:pPr>
      <w:r>
        <w:rPr>
          <w:rFonts w:hint="eastAsia" w:ascii="仿宋_GB2312" w:hAnsi="楷体" w:eastAsia="仿宋_GB2312" w:cs="宋体"/>
          <w:bCs/>
          <w:kern w:val="0"/>
          <w:sz w:val="24"/>
          <w:szCs w:val="24"/>
        </w:rPr>
        <w:t>邮编：</w:t>
      </w:r>
      <w:r>
        <w:rPr>
          <w:rFonts w:ascii="仿宋_GB2312" w:hAnsi="楷体" w:eastAsia="仿宋_GB2312" w:cs="宋体"/>
          <w:bCs/>
          <w:kern w:val="0"/>
          <w:sz w:val="24"/>
          <w:szCs w:val="24"/>
        </w:rPr>
        <w:t>3140</w:t>
      </w:r>
      <w:r>
        <w:rPr>
          <w:rFonts w:hint="eastAsia" w:ascii="仿宋_GB2312" w:hAnsi="楷体" w:eastAsia="仿宋_GB2312" w:cs="宋体"/>
          <w:bCs/>
          <w:kern w:val="0"/>
          <w:sz w:val="24"/>
          <w:szCs w:val="24"/>
        </w:rPr>
        <w:t>51</w:t>
      </w:r>
    </w:p>
    <w:p>
      <w:pPr>
        <w:widowControl/>
        <w:adjustRightInd w:val="0"/>
        <w:spacing w:line="360" w:lineRule="auto"/>
        <w:rPr>
          <w:rFonts w:ascii="仿宋_GB2312" w:hAnsi="楷体" w:eastAsia="仿宋_GB2312" w:cs="宋体"/>
          <w:bCs/>
          <w:kern w:val="0"/>
          <w:sz w:val="24"/>
          <w:szCs w:val="24"/>
        </w:rPr>
      </w:pPr>
      <w:r>
        <w:rPr>
          <w:rFonts w:hint="eastAsia" w:ascii="仿宋_GB2312" w:hAnsi="楷体" w:eastAsia="仿宋_GB2312" w:cs="宋体"/>
          <w:bCs/>
          <w:kern w:val="0"/>
          <w:sz w:val="24"/>
          <w:szCs w:val="24"/>
        </w:rPr>
        <w:t>办学层次：本科</w:t>
      </w:r>
    </w:p>
    <w:p>
      <w:pPr>
        <w:widowControl/>
        <w:adjustRightInd w:val="0"/>
        <w:spacing w:line="360" w:lineRule="auto"/>
        <w:rPr>
          <w:rFonts w:ascii="仿宋_GB2312" w:hAnsi="楷体" w:eastAsia="仿宋_GB2312" w:cs="宋体"/>
          <w:bCs/>
          <w:kern w:val="0"/>
          <w:sz w:val="24"/>
          <w:szCs w:val="24"/>
        </w:rPr>
      </w:pPr>
      <w:r>
        <w:rPr>
          <w:rFonts w:hint="eastAsia" w:ascii="仿宋_GB2312" w:hAnsi="楷体" w:eastAsia="仿宋_GB2312" w:cs="宋体"/>
          <w:bCs/>
          <w:kern w:val="0"/>
          <w:sz w:val="24"/>
          <w:szCs w:val="24"/>
        </w:rPr>
        <w:t>办学类型：独立学院</w:t>
      </w:r>
    </w:p>
    <w:p>
      <w:pPr>
        <w:spacing w:line="360" w:lineRule="auto"/>
        <w:rPr>
          <w:rFonts w:ascii="黑体" w:hAnsi="黑体" w:eastAsia="黑体"/>
          <w:b/>
          <w:kern w:val="0"/>
          <w:sz w:val="24"/>
          <w:szCs w:val="24"/>
        </w:rPr>
      </w:pPr>
      <w:r>
        <w:rPr>
          <w:rFonts w:hint="eastAsia" w:ascii="黑体" w:hAnsi="黑体" w:eastAsia="黑体"/>
          <w:b/>
          <w:kern w:val="0"/>
          <w:sz w:val="24"/>
          <w:szCs w:val="24"/>
        </w:rPr>
        <w:t>一、总则</w:t>
      </w:r>
    </w:p>
    <w:p>
      <w:pPr>
        <w:pStyle w:val="5"/>
        <w:adjustRightInd w:val="0"/>
        <w:snapToGrid w:val="0"/>
        <w:spacing w:before="0" w:beforeAutospacing="0" w:after="0" w:afterAutospacing="0" w:line="360" w:lineRule="auto"/>
        <w:ind w:firstLine="480" w:firstLineChars="200"/>
        <w:jc w:val="both"/>
        <w:rPr>
          <w:rFonts w:ascii="仿宋_GB2312" w:hAnsi="楷体" w:eastAsia="仿宋_GB2312"/>
          <w:bCs/>
        </w:rPr>
      </w:pPr>
      <w:r>
        <w:rPr>
          <w:rFonts w:hint="eastAsia" w:ascii="仿宋_GB2312" w:hAnsi="楷体" w:eastAsia="仿宋_GB2312"/>
          <w:bCs/>
        </w:rPr>
        <w:t>1、为规范退役大学生士兵免试专升本招生工作（以下简称“免试专升本”），维护考生、学校的合法权益，确保招生工作顺利进行，根据《教育部办公厅关于做好2022年普通高等学校专升本考试招生工作的通知》（教学厅〔2021〕8号）、《浙江省 2022 年退役大学生士兵免试专升本招生工作实施办法》（浙教办考〔2021〕58 号）的有关政策和规定，特制定本章程。</w:t>
      </w:r>
    </w:p>
    <w:p>
      <w:pPr>
        <w:pStyle w:val="5"/>
        <w:adjustRightInd w:val="0"/>
        <w:snapToGrid w:val="0"/>
        <w:spacing w:before="0" w:beforeAutospacing="0" w:after="0" w:afterAutospacing="0" w:line="360" w:lineRule="auto"/>
        <w:ind w:firstLine="480" w:firstLineChars="200"/>
        <w:jc w:val="both"/>
        <w:rPr>
          <w:rFonts w:ascii="仿宋_GB2312" w:hAnsi="楷体" w:eastAsia="仿宋_GB2312"/>
        </w:rPr>
      </w:pPr>
      <w:r>
        <w:rPr>
          <w:rFonts w:hint="eastAsia" w:ascii="仿宋_GB2312" w:hAnsi="楷体" w:eastAsia="仿宋_GB2312"/>
        </w:rPr>
        <w:t>2、本章程适用于同济大学浙江学院2022年免试专升本招生工作。</w:t>
      </w:r>
    </w:p>
    <w:p>
      <w:pPr>
        <w:pStyle w:val="5"/>
        <w:adjustRightInd w:val="0"/>
        <w:snapToGrid w:val="0"/>
        <w:spacing w:before="0" w:beforeAutospacing="0" w:after="0" w:afterAutospacing="0" w:line="360" w:lineRule="auto"/>
        <w:ind w:firstLine="480" w:firstLineChars="200"/>
        <w:jc w:val="both"/>
        <w:rPr>
          <w:rFonts w:hint="eastAsia" w:ascii="仿宋_GB2312" w:hAnsi="楷体" w:eastAsia="仿宋_GB2312"/>
          <w:bCs/>
        </w:rPr>
      </w:pPr>
      <w:r>
        <w:rPr>
          <w:rFonts w:hint="eastAsia" w:ascii="仿宋_GB2312" w:hAnsi="楷体" w:eastAsia="仿宋_GB2312"/>
          <w:bCs/>
        </w:rPr>
        <w:t>3、学校招生工作严格执行教育部和</w:t>
      </w:r>
      <w:r>
        <w:rPr>
          <w:rFonts w:hint="eastAsia" w:ascii="仿宋_GB2312" w:hAnsi="楷体" w:eastAsia="仿宋_GB2312"/>
          <w:bCs/>
          <w:lang w:val="en-US" w:eastAsia="zh-CN"/>
        </w:rPr>
        <w:t>浙江省</w:t>
      </w:r>
      <w:r>
        <w:rPr>
          <w:rFonts w:hint="eastAsia" w:ascii="仿宋_GB2312" w:hAnsi="楷体" w:eastAsia="仿宋_GB2312"/>
          <w:bCs/>
        </w:rPr>
        <w:t>招生主管部门的有关政策和规定，贯彻公平竞争、公正选拔、公开透明的原则，综合评价、择优录取。</w:t>
      </w:r>
    </w:p>
    <w:p>
      <w:pPr>
        <w:pStyle w:val="5"/>
        <w:adjustRightInd w:val="0"/>
        <w:snapToGrid w:val="0"/>
        <w:spacing w:before="0" w:beforeAutospacing="0" w:after="0" w:afterAutospacing="0" w:line="360" w:lineRule="auto"/>
        <w:ind w:firstLine="480" w:firstLineChars="200"/>
        <w:jc w:val="both"/>
        <w:rPr>
          <w:rFonts w:ascii="仿宋_GB2312" w:hAnsi="楷体" w:eastAsia="仿宋_GB2312"/>
          <w:bCs/>
        </w:rPr>
      </w:pPr>
      <w:r>
        <w:rPr>
          <w:rFonts w:hint="eastAsia" w:ascii="仿宋_GB2312" w:hAnsi="楷体" w:eastAsia="仿宋_GB2312"/>
          <w:bCs/>
        </w:rPr>
        <w:t>4、学校招生工作实施“阳光工程”，接受广大考生及其家长和社会各方面的监督。</w:t>
      </w:r>
    </w:p>
    <w:p>
      <w:pPr>
        <w:widowControl/>
        <w:tabs>
          <w:tab w:val="left" w:pos="480"/>
        </w:tabs>
        <w:adjustRightInd w:val="0"/>
        <w:spacing w:line="360" w:lineRule="auto"/>
        <w:jc w:val="left"/>
        <w:rPr>
          <w:rFonts w:ascii="宋体" w:hAnsi="宋体" w:cs="宋体"/>
          <w:b/>
          <w:kern w:val="0"/>
          <w:sz w:val="24"/>
        </w:rPr>
      </w:pPr>
      <w:r>
        <w:rPr>
          <w:rFonts w:hint="eastAsia" w:ascii="黑体" w:hAnsi="宋体" w:eastAsia="黑体" w:cs="宋体"/>
          <w:b/>
          <w:kern w:val="0"/>
          <w:sz w:val="24"/>
        </w:rPr>
        <w:t>二、学校概况</w:t>
      </w:r>
    </w:p>
    <w:p>
      <w:pPr>
        <w:pStyle w:val="5"/>
        <w:adjustRightInd w:val="0"/>
        <w:snapToGrid w:val="0"/>
        <w:spacing w:before="0" w:beforeAutospacing="0" w:after="0" w:afterAutospacing="0" w:line="360" w:lineRule="auto"/>
        <w:ind w:firstLine="480" w:firstLineChars="200"/>
        <w:jc w:val="both"/>
        <w:rPr>
          <w:rFonts w:ascii="仿宋_GB2312" w:hAnsi="楷体" w:eastAsia="仿宋_GB2312"/>
          <w:bCs/>
        </w:rPr>
      </w:pPr>
      <w:r>
        <w:rPr>
          <w:rFonts w:hint="eastAsia" w:ascii="仿宋_GB2312" w:hAnsi="楷体" w:eastAsia="仿宋_GB2312"/>
          <w:bCs/>
        </w:rPr>
        <w:t>同济大学浙江学院是经国家教育部正式批准设立的一所按新机制、新模式运作的独立学院，由同济大学、宏达控股集团有限公司和嘉兴市教育发展投资有限责任公司合作举办。</w:t>
      </w:r>
    </w:p>
    <w:p>
      <w:pPr>
        <w:pStyle w:val="5"/>
        <w:adjustRightInd w:val="0"/>
        <w:snapToGrid w:val="0"/>
        <w:spacing w:before="0" w:beforeAutospacing="0" w:after="0" w:afterAutospacing="0" w:line="360" w:lineRule="auto"/>
        <w:ind w:firstLine="480" w:firstLineChars="200"/>
        <w:jc w:val="both"/>
        <w:rPr>
          <w:rFonts w:ascii="仿宋_GB2312" w:hAnsi="楷体" w:eastAsia="仿宋_GB2312"/>
          <w:bCs/>
        </w:rPr>
      </w:pPr>
      <w:r>
        <w:rPr>
          <w:rFonts w:hint="eastAsia" w:ascii="仿宋_GB2312" w:hAnsi="楷体" w:eastAsia="仿宋_GB2312"/>
          <w:bCs/>
        </w:rPr>
        <w:t>同济大学浙江学院位于嘉兴市商务大道</w:t>
      </w:r>
      <w:r>
        <w:rPr>
          <w:rFonts w:ascii="仿宋_GB2312" w:hAnsi="楷体" w:eastAsia="仿宋_GB2312"/>
          <w:bCs/>
        </w:rPr>
        <w:t>168</w:t>
      </w:r>
      <w:r>
        <w:rPr>
          <w:rFonts w:hint="eastAsia" w:ascii="仿宋_GB2312" w:hAnsi="楷体" w:eastAsia="仿宋_GB2312"/>
          <w:bCs/>
        </w:rPr>
        <w:t>号，校区占地面积</w:t>
      </w:r>
      <w:r>
        <w:rPr>
          <w:rFonts w:ascii="仿宋_GB2312" w:hAnsi="楷体" w:eastAsia="仿宋_GB2312"/>
          <w:bCs/>
        </w:rPr>
        <w:t>830</w:t>
      </w:r>
      <w:r>
        <w:rPr>
          <w:rFonts w:hint="eastAsia" w:ascii="仿宋_GB2312" w:hAnsi="楷体" w:eastAsia="仿宋_GB2312"/>
          <w:bCs/>
        </w:rPr>
        <w:t>亩，校园环境优美，教学设施先进，生活条件完备。</w:t>
      </w:r>
    </w:p>
    <w:p>
      <w:pPr>
        <w:widowControl/>
        <w:tabs>
          <w:tab w:val="left" w:pos="480"/>
        </w:tabs>
        <w:adjustRightInd w:val="0"/>
        <w:spacing w:line="360" w:lineRule="auto"/>
        <w:ind w:left="482" w:hanging="482"/>
        <w:jc w:val="left"/>
        <w:rPr>
          <w:rFonts w:ascii="黑体" w:hAnsi="宋体" w:eastAsia="黑体" w:cs="黑体"/>
          <w:b/>
          <w:kern w:val="0"/>
          <w:sz w:val="24"/>
        </w:rPr>
      </w:pPr>
      <w:r>
        <w:rPr>
          <w:rFonts w:hint="eastAsia" w:ascii="黑体" w:hAnsi="宋体" w:eastAsia="黑体" w:cs="黑体"/>
          <w:b/>
          <w:kern w:val="0"/>
          <w:sz w:val="24"/>
        </w:rPr>
        <w:t>三、学历、学位证书</w:t>
      </w:r>
    </w:p>
    <w:p>
      <w:pPr>
        <w:widowControl/>
        <w:adjustRightInd w:val="0"/>
        <w:spacing w:line="360" w:lineRule="auto"/>
        <w:ind w:firstLine="480" w:firstLineChars="200"/>
        <w:rPr>
          <w:rFonts w:hint="eastAsia" w:ascii="仿宋_GB2312" w:hAnsi="楷体" w:eastAsia="仿宋_GB2312" w:cs="宋体"/>
          <w:bCs/>
          <w:kern w:val="0"/>
          <w:sz w:val="24"/>
          <w:szCs w:val="24"/>
          <w:lang w:eastAsia="zh-CN"/>
        </w:rPr>
      </w:pPr>
      <w:r>
        <w:rPr>
          <w:rFonts w:hint="eastAsia" w:ascii="仿宋_GB2312" w:hAnsi="楷体" w:eastAsia="仿宋_GB2312" w:cs="宋体"/>
          <w:bCs/>
          <w:kern w:val="0"/>
          <w:sz w:val="24"/>
          <w:szCs w:val="24"/>
          <w:lang w:val="en-US" w:eastAsia="zh-CN"/>
        </w:rPr>
        <w:t>颁发毕业证书及学士学位证书的学校名称：</w:t>
      </w:r>
      <w:r>
        <w:rPr>
          <w:rFonts w:hint="eastAsia" w:ascii="仿宋_GB2312" w:hAnsi="楷体" w:eastAsia="仿宋_GB2312" w:cs="宋体"/>
          <w:bCs/>
          <w:kern w:val="0"/>
          <w:sz w:val="24"/>
          <w:szCs w:val="24"/>
        </w:rPr>
        <w:t>同济大学浙江学院</w:t>
      </w:r>
      <w:r>
        <w:rPr>
          <w:rFonts w:hint="eastAsia" w:ascii="仿宋_GB2312" w:hAnsi="楷体" w:eastAsia="仿宋_GB2312" w:cs="宋体"/>
          <w:bCs/>
          <w:kern w:val="0"/>
          <w:sz w:val="24"/>
          <w:szCs w:val="24"/>
          <w:lang w:eastAsia="zh-CN"/>
        </w:rPr>
        <w:t>。</w:t>
      </w:r>
    </w:p>
    <w:p>
      <w:pPr>
        <w:widowControl/>
        <w:tabs>
          <w:tab w:val="left" w:pos="480"/>
        </w:tabs>
        <w:adjustRightInd w:val="0"/>
        <w:spacing w:line="360" w:lineRule="auto"/>
        <w:ind w:left="482" w:hanging="482"/>
        <w:jc w:val="left"/>
        <w:rPr>
          <w:rFonts w:ascii="黑体" w:hAnsi="宋体" w:eastAsia="黑体" w:cs="黑体"/>
          <w:b/>
          <w:kern w:val="0"/>
          <w:sz w:val="24"/>
        </w:rPr>
      </w:pPr>
      <w:r>
        <w:rPr>
          <w:rFonts w:hint="eastAsia" w:ascii="黑体" w:hAnsi="宋体" w:eastAsia="黑体" w:cs="黑体"/>
          <w:b/>
          <w:kern w:val="0"/>
          <w:sz w:val="24"/>
        </w:rPr>
        <w:t>四、组织机构</w:t>
      </w:r>
    </w:p>
    <w:p>
      <w:pPr>
        <w:widowControl/>
        <w:adjustRightInd w:val="0"/>
        <w:spacing w:line="360" w:lineRule="auto"/>
        <w:ind w:firstLine="480" w:firstLineChars="200"/>
        <w:rPr>
          <w:rFonts w:ascii="仿宋_GB2312" w:hAnsi="楷体" w:eastAsia="仿宋_GB2312" w:cs="宋体"/>
          <w:bCs/>
          <w:kern w:val="0"/>
          <w:sz w:val="24"/>
          <w:szCs w:val="24"/>
        </w:rPr>
      </w:pPr>
      <w:r>
        <w:rPr>
          <w:rFonts w:hint="eastAsia" w:ascii="仿宋_GB2312" w:hAnsi="楷体" w:eastAsia="仿宋_GB2312" w:cs="宋体"/>
          <w:bCs/>
          <w:kern w:val="0"/>
          <w:sz w:val="24"/>
          <w:szCs w:val="24"/>
        </w:rPr>
        <w:t>1、学校成立免试专升本招生工作领导小组及专家委员会，负责实施</w:t>
      </w:r>
      <w:bookmarkStart w:id="0" w:name="_Hlk92375945"/>
      <w:r>
        <w:rPr>
          <w:rFonts w:hint="eastAsia" w:ascii="仿宋_GB2312" w:hAnsi="楷体" w:eastAsia="仿宋_GB2312" w:cs="宋体"/>
          <w:bCs/>
          <w:kern w:val="0"/>
          <w:sz w:val="24"/>
          <w:szCs w:val="24"/>
        </w:rPr>
        <w:t>免试专升本招生工作</w:t>
      </w:r>
      <w:bookmarkEnd w:id="0"/>
      <w:r>
        <w:rPr>
          <w:rFonts w:hint="eastAsia" w:ascii="仿宋_GB2312" w:hAnsi="楷体" w:eastAsia="仿宋_GB2312" w:cs="宋体"/>
          <w:bCs/>
          <w:kern w:val="0"/>
          <w:sz w:val="24"/>
          <w:szCs w:val="24"/>
        </w:rPr>
        <w:t>，研究、制订招生章程，并对重大事宜做出决策。其下设专家委员会、纪检监察小组和工作小组，负责实施相关具体招生工作。</w:t>
      </w:r>
    </w:p>
    <w:p>
      <w:pPr>
        <w:widowControl/>
        <w:adjustRightInd w:val="0"/>
        <w:spacing w:line="360" w:lineRule="auto"/>
        <w:ind w:firstLine="480" w:firstLineChars="200"/>
        <w:rPr>
          <w:rFonts w:ascii="仿宋_GB2312" w:hAnsi="楷体" w:eastAsia="仿宋_GB2312" w:cs="宋体"/>
          <w:bCs/>
          <w:kern w:val="0"/>
          <w:sz w:val="24"/>
          <w:szCs w:val="24"/>
        </w:rPr>
      </w:pPr>
      <w:r>
        <w:rPr>
          <w:rFonts w:hint="eastAsia" w:ascii="仿宋_GB2312" w:hAnsi="楷体" w:eastAsia="仿宋_GB2312" w:cs="宋体"/>
          <w:bCs/>
          <w:kern w:val="0"/>
          <w:sz w:val="24"/>
          <w:szCs w:val="24"/>
        </w:rPr>
        <w:t>2、免试专升本招生工作小组，是学校组织和实施免试专升本招生工作的常设机构，负责协调处理学校免试专升本招生工作的日常事务，由教务处牵头，后勤处、保卫处、宣传部和信息中心等部门组成。</w:t>
      </w:r>
    </w:p>
    <w:p>
      <w:pPr>
        <w:pStyle w:val="5"/>
        <w:adjustRightInd w:val="0"/>
        <w:snapToGrid w:val="0"/>
        <w:spacing w:before="0" w:beforeAutospacing="0" w:after="0" w:afterAutospacing="0" w:line="360" w:lineRule="auto"/>
        <w:rPr>
          <w:rFonts w:ascii="黑体" w:hAnsi="黑体" w:eastAsia="黑体"/>
          <w:b/>
          <w:bCs/>
        </w:rPr>
      </w:pPr>
      <w:r>
        <w:rPr>
          <w:rFonts w:hint="eastAsia" w:ascii="黑体" w:hAnsi="黑体" w:eastAsia="黑体"/>
          <w:b/>
          <w:bCs/>
        </w:rPr>
        <w:t>五、招生专业、招生计划</w:t>
      </w:r>
    </w:p>
    <w:p>
      <w:pPr>
        <w:spacing w:line="360" w:lineRule="auto"/>
        <w:ind w:firstLine="480" w:firstLineChars="200"/>
        <w:rPr>
          <w:rFonts w:ascii="仿宋_GB2312" w:hAnsi="楷体" w:eastAsia="仿宋_GB2312" w:cs="宋体"/>
          <w:bCs/>
          <w:kern w:val="0"/>
          <w:sz w:val="24"/>
          <w:szCs w:val="24"/>
        </w:rPr>
      </w:pPr>
      <w:r>
        <w:rPr>
          <w:rFonts w:hint="eastAsia" w:ascii="仿宋_GB2312" w:hAnsi="楷体" w:eastAsia="仿宋_GB2312" w:cs="宋体"/>
          <w:bCs/>
          <w:kern w:val="0"/>
          <w:sz w:val="24"/>
          <w:szCs w:val="24"/>
        </w:rPr>
        <w:t>1、学校免试专升本招生面向普通高校高职（专科）毕业生及在校生（含高校新生）在浙江省应征入伍，退役后完成高职（专科）学业的退役大学生士兵。</w:t>
      </w:r>
    </w:p>
    <w:p>
      <w:pPr>
        <w:shd w:val="clear" w:color="auto" w:fill="FFFFFF"/>
        <w:spacing w:line="360" w:lineRule="auto"/>
        <w:ind w:firstLine="480" w:firstLineChars="200"/>
        <w:rPr>
          <w:rFonts w:ascii="仿宋_GB2312" w:hAnsi="仿宋" w:eastAsia="仿宋_GB2312" w:cs="宋体"/>
          <w:color w:val="000000"/>
          <w:kern w:val="0"/>
          <w:sz w:val="24"/>
          <w:szCs w:val="24"/>
        </w:rPr>
      </w:pPr>
      <w:r>
        <w:rPr>
          <w:rFonts w:hint="eastAsia" w:ascii="仿宋_GB2312" w:hAnsi="楷体" w:eastAsia="仿宋_GB2312" w:cs="宋体"/>
          <w:bCs/>
          <w:kern w:val="0"/>
          <w:sz w:val="24"/>
          <w:szCs w:val="24"/>
        </w:rPr>
        <w:t>2、按专业对口原则实施招生。考生高职高专阶段所学专业须符合所报专业志愿的限报专业要求，具体招生专业、计划如下表：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widowControl/>
              <w:adjustRightInd w:val="0"/>
              <w:snapToGrid w:val="0"/>
              <w:spacing w:line="360" w:lineRule="auto"/>
              <w:jc w:val="center"/>
              <w:rPr>
                <w:rFonts w:ascii="仿宋_GB2312" w:hAnsi="微软雅黑" w:eastAsia="仿宋_GB2312" w:cs="Arial"/>
                <w:kern w:val="0"/>
                <w:szCs w:val="21"/>
              </w:rPr>
            </w:pPr>
            <w:r>
              <w:rPr>
                <w:rFonts w:hint="eastAsia" w:ascii="仿宋_GB2312" w:hAnsi="微软雅黑" w:eastAsia="仿宋_GB2312" w:cs="Arial"/>
                <w:bCs/>
                <w:kern w:val="0"/>
                <w:szCs w:val="21"/>
              </w:rPr>
              <w:t>类别</w:t>
            </w:r>
          </w:p>
        </w:tc>
        <w:tc>
          <w:tcPr>
            <w:tcW w:w="1704" w:type="dxa"/>
            <w:vAlign w:val="center"/>
          </w:tcPr>
          <w:p>
            <w:pPr>
              <w:widowControl/>
              <w:adjustRightInd w:val="0"/>
              <w:snapToGrid w:val="0"/>
              <w:spacing w:line="360" w:lineRule="auto"/>
              <w:jc w:val="center"/>
              <w:rPr>
                <w:rFonts w:ascii="仿宋_GB2312" w:hAnsi="微软雅黑" w:eastAsia="仿宋_GB2312" w:cs="Arial"/>
                <w:bCs/>
                <w:kern w:val="0"/>
                <w:szCs w:val="21"/>
              </w:rPr>
            </w:pPr>
            <w:r>
              <w:rPr>
                <w:rFonts w:hint="eastAsia" w:ascii="仿宋_GB2312" w:hAnsi="微软雅黑" w:eastAsia="仿宋_GB2312" w:cs="Arial"/>
                <w:bCs/>
                <w:kern w:val="0"/>
                <w:szCs w:val="21"/>
              </w:rPr>
              <w:t>专业代码</w:t>
            </w:r>
          </w:p>
        </w:tc>
        <w:tc>
          <w:tcPr>
            <w:tcW w:w="1704" w:type="dxa"/>
            <w:vAlign w:val="center"/>
          </w:tcPr>
          <w:p>
            <w:pPr>
              <w:widowControl/>
              <w:adjustRightInd w:val="0"/>
              <w:snapToGrid w:val="0"/>
              <w:spacing w:line="360" w:lineRule="auto"/>
              <w:jc w:val="center"/>
              <w:rPr>
                <w:rFonts w:ascii="仿宋_GB2312" w:hAnsi="微软雅黑" w:eastAsia="仿宋_GB2312" w:cs="Arial"/>
                <w:kern w:val="0"/>
                <w:szCs w:val="21"/>
              </w:rPr>
            </w:pPr>
            <w:r>
              <w:rPr>
                <w:rFonts w:hint="eastAsia" w:ascii="仿宋_GB2312" w:hAnsi="微软雅黑" w:eastAsia="仿宋_GB2312" w:cs="Arial"/>
                <w:bCs/>
                <w:kern w:val="0"/>
                <w:szCs w:val="21"/>
              </w:rPr>
              <w:t>专业名称</w:t>
            </w:r>
          </w:p>
        </w:tc>
        <w:tc>
          <w:tcPr>
            <w:tcW w:w="1092" w:type="dxa"/>
            <w:vAlign w:val="center"/>
          </w:tcPr>
          <w:p>
            <w:pPr>
              <w:widowControl/>
              <w:adjustRightInd w:val="0"/>
              <w:snapToGrid w:val="0"/>
              <w:spacing w:line="360" w:lineRule="auto"/>
              <w:jc w:val="center"/>
              <w:rPr>
                <w:rFonts w:ascii="仿宋_GB2312" w:hAnsi="微软雅黑" w:eastAsia="仿宋_GB2312" w:cs="Arial"/>
                <w:kern w:val="0"/>
                <w:szCs w:val="21"/>
              </w:rPr>
            </w:pPr>
            <w:r>
              <w:rPr>
                <w:rFonts w:hint="eastAsia" w:ascii="仿宋_GB2312" w:hAnsi="微软雅黑" w:eastAsia="仿宋_GB2312" w:cs="Arial"/>
                <w:bCs/>
                <w:kern w:val="0"/>
                <w:szCs w:val="21"/>
              </w:rPr>
              <w:t>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widowControl/>
              <w:adjustRightInd w:val="0"/>
              <w:snapToGrid w:val="0"/>
              <w:spacing w:line="360" w:lineRule="auto"/>
              <w:jc w:val="center"/>
              <w:rPr>
                <w:rFonts w:hint="eastAsia" w:ascii="仿宋_GB2312" w:hAnsi="微软雅黑" w:eastAsia="仿宋_GB2312" w:cs="Arial"/>
                <w:bCs/>
                <w:kern w:val="0"/>
                <w:szCs w:val="21"/>
                <w:lang w:val="en-US" w:eastAsia="zh-CN"/>
              </w:rPr>
            </w:pPr>
            <w:r>
              <w:rPr>
                <w:rFonts w:hint="eastAsia" w:ascii="仿宋_GB2312" w:hAnsi="微软雅黑" w:eastAsia="仿宋_GB2312" w:cs="Arial"/>
                <w:bCs/>
                <w:kern w:val="0"/>
                <w:szCs w:val="21"/>
                <w:lang w:val="en-US" w:eastAsia="zh-CN"/>
              </w:rPr>
              <w:t>理工</w:t>
            </w:r>
          </w:p>
        </w:tc>
        <w:tc>
          <w:tcPr>
            <w:tcW w:w="1704" w:type="dxa"/>
            <w:vAlign w:val="center"/>
          </w:tcPr>
          <w:p>
            <w:pPr>
              <w:widowControl/>
              <w:adjustRightInd w:val="0"/>
              <w:snapToGrid w:val="0"/>
              <w:spacing w:line="360" w:lineRule="auto"/>
              <w:jc w:val="center"/>
              <w:rPr>
                <w:rFonts w:hint="eastAsia" w:ascii="仿宋_GB2312" w:hAnsi="微软雅黑" w:eastAsia="仿宋_GB2312" w:cs="Arial"/>
                <w:bCs/>
                <w:kern w:val="0"/>
                <w:szCs w:val="21"/>
                <w:lang w:val="en-US" w:eastAsia="zh-CN"/>
              </w:rPr>
            </w:pPr>
            <w:r>
              <w:rPr>
                <w:rFonts w:hint="eastAsia" w:ascii="仿宋_GB2312" w:hAnsi="微软雅黑" w:eastAsia="仿宋_GB2312" w:cs="Arial"/>
                <w:bCs/>
                <w:kern w:val="0"/>
                <w:szCs w:val="21"/>
                <w:lang w:val="en-US" w:eastAsia="zh-CN"/>
              </w:rPr>
              <w:t>1</w:t>
            </w:r>
          </w:p>
        </w:tc>
        <w:tc>
          <w:tcPr>
            <w:tcW w:w="1704" w:type="dxa"/>
            <w:vAlign w:val="center"/>
          </w:tcPr>
          <w:p>
            <w:pPr>
              <w:widowControl/>
              <w:adjustRightInd w:val="0"/>
              <w:snapToGrid w:val="0"/>
              <w:spacing w:line="360" w:lineRule="auto"/>
              <w:jc w:val="center"/>
              <w:rPr>
                <w:rFonts w:hint="default" w:ascii="仿宋_GB2312" w:hAnsi="微软雅黑" w:eastAsia="仿宋_GB2312" w:cs="Arial"/>
                <w:bCs/>
                <w:kern w:val="0"/>
                <w:szCs w:val="21"/>
                <w:lang w:val="en-US" w:eastAsia="zh-CN"/>
              </w:rPr>
            </w:pPr>
            <w:r>
              <w:rPr>
                <w:rFonts w:hint="eastAsia" w:ascii="仿宋_GB2312" w:hAnsi="微软雅黑" w:eastAsia="仿宋_GB2312" w:cs="Arial"/>
                <w:bCs/>
                <w:kern w:val="0"/>
                <w:szCs w:val="21"/>
                <w:lang w:val="en-US" w:eastAsia="zh-CN"/>
              </w:rPr>
              <w:t>机械电子工程</w:t>
            </w:r>
          </w:p>
        </w:tc>
        <w:tc>
          <w:tcPr>
            <w:tcW w:w="1092" w:type="dxa"/>
            <w:vAlign w:val="center"/>
          </w:tcPr>
          <w:p>
            <w:pPr>
              <w:widowControl/>
              <w:adjustRightInd w:val="0"/>
              <w:snapToGrid w:val="0"/>
              <w:spacing w:line="360" w:lineRule="auto"/>
              <w:jc w:val="center"/>
              <w:rPr>
                <w:rFonts w:hint="default" w:ascii="仿宋_GB2312" w:hAnsi="微软雅黑" w:eastAsia="仿宋_GB2312" w:cs="Arial"/>
                <w:bCs/>
                <w:kern w:val="0"/>
                <w:szCs w:val="21"/>
                <w:lang w:val="en-US" w:eastAsia="zh-CN"/>
              </w:rPr>
            </w:pPr>
            <w:r>
              <w:rPr>
                <w:rFonts w:hint="eastAsia" w:ascii="仿宋_GB2312" w:hAnsi="微软雅黑" w:eastAsia="仿宋_GB2312" w:cs="Arial"/>
                <w:bCs/>
                <w:kern w:val="0"/>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widowControl/>
              <w:adjustRightInd w:val="0"/>
              <w:snapToGrid w:val="0"/>
              <w:spacing w:line="360" w:lineRule="auto"/>
              <w:jc w:val="center"/>
              <w:rPr>
                <w:rFonts w:ascii="仿宋_GB2312" w:hAnsi="微软雅黑" w:eastAsia="仿宋_GB2312" w:cs="Arial"/>
                <w:kern w:val="0"/>
                <w:szCs w:val="21"/>
              </w:rPr>
            </w:pPr>
            <w:r>
              <w:rPr>
                <w:rFonts w:hint="eastAsia" w:ascii="仿宋_GB2312" w:hAnsi="微软雅黑" w:eastAsia="仿宋_GB2312" w:cs="Arial"/>
                <w:bCs/>
                <w:kern w:val="0"/>
                <w:szCs w:val="21"/>
              </w:rPr>
              <w:t>经管</w:t>
            </w:r>
          </w:p>
        </w:tc>
        <w:tc>
          <w:tcPr>
            <w:tcW w:w="1704" w:type="dxa"/>
            <w:vAlign w:val="center"/>
          </w:tcPr>
          <w:p>
            <w:pPr>
              <w:widowControl/>
              <w:adjustRightInd w:val="0"/>
              <w:snapToGrid w:val="0"/>
              <w:spacing w:line="360" w:lineRule="auto"/>
              <w:jc w:val="center"/>
              <w:rPr>
                <w:rFonts w:hint="eastAsia" w:ascii="仿宋_GB2312" w:hAnsi="微软雅黑" w:eastAsia="仿宋_GB2312" w:cs="Arial"/>
                <w:bCs/>
                <w:kern w:val="0"/>
                <w:szCs w:val="21"/>
                <w:lang w:eastAsia="zh-CN"/>
              </w:rPr>
            </w:pPr>
            <w:r>
              <w:rPr>
                <w:rFonts w:hint="eastAsia" w:ascii="仿宋_GB2312" w:hAnsi="微软雅黑" w:eastAsia="仿宋_GB2312" w:cs="Arial"/>
                <w:bCs/>
                <w:kern w:val="0"/>
                <w:szCs w:val="21"/>
                <w:lang w:val="en-US" w:eastAsia="zh-CN"/>
              </w:rPr>
              <w:t>2</w:t>
            </w:r>
          </w:p>
        </w:tc>
        <w:tc>
          <w:tcPr>
            <w:tcW w:w="1704" w:type="dxa"/>
            <w:vAlign w:val="center"/>
          </w:tcPr>
          <w:p>
            <w:pPr>
              <w:widowControl/>
              <w:adjustRightInd w:val="0"/>
              <w:snapToGrid w:val="0"/>
              <w:spacing w:line="360" w:lineRule="auto"/>
              <w:jc w:val="center"/>
              <w:rPr>
                <w:rFonts w:ascii="仿宋_GB2312" w:hAnsi="微软雅黑" w:eastAsia="仿宋_GB2312" w:cs="Arial"/>
                <w:kern w:val="0"/>
                <w:szCs w:val="21"/>
              </w:rPr>
            </w:pPr>
            <w:r>
              <w:rPr>
                <w:rFonts w:hint="eastAsia" w:ascii="仿宋_GB2312" w:hAnsi="微软雅黑" w:eastAsia="仿宋_GB2312" w:cs="Arial"/>
                <w:bCs/>
                <w:kern w:val="0"/>
                <w:szCs w:val="21"/>
              </w:rPr>
              <w:t>行政管理</w:t>
            </w:r>
          </w:p>
        </w:tc>
        <w:tc>
          <w:tcPr>
            <w:tcW w:w="1092" w:type="dxa"/>
            <w:vAlign w:val="center"/>
          </w:tcPr>
          <w:p>
            <w:pPr>
              <w:widowControl/>
              <w:adjustRightInd w:val="0"/>
              <w:snapToGrid w:val="0"/>
              <w:spacing w:line="360" w:lineRule="auto"/>
              <w:jc w:val="center"/>
              <w:rPr>
                <w:rFonts w:hint="default" w:ascii="仿宋_GB2312" w:hAnsi="微软雅黑" w:eastAsia="仿宋_GB2312" w:cs="Arial"/>
                <w:kern w:val="0"/>
                <w:szCs w:val="21"/>
                <w:lang w:val="en-US" w:eastAsia="zh-CN"/>
              </w:rPr>
            </w:pPr>
            <w:r>
              <w:rPr>
                <w:rFonts w:hint="eastAsia" w:ascii="仿宋_GB2312" w:hAnsi="微软雅黑" w:eastAsia="仿宋_GB2312" w:cs="Arial"/>
                <w:kern w:val="0"/>
                <w:szCs w:val="21"/>
                <w:lang w:val="en-US" w:eastAsia="zh-CN"/>
              </w:rPr>
              <w:t>80</w:t>
            </w:r>
          </w:p>
        </w:tc>
      </w:tr>
    </w:tbl>
    <w:p>
      <w:pPr>
        <w:pStyle w:val="5"/>
        <w:adjustRightInd w:val="0"/>
        <w:snapToGrid w:val="0"/>
        <w:spacing w:before="0" w:beforeAutospacing="0" w:after="0" w:afterAutospacing="0" w:line="360" w:lineRule="auto"/>
        <w:rPr>
          <w:rFonts w:ascii="黑体" w:hAnsi="黑体" w:eastAsia="黑体"/>
          <w:b/>
          <w:bCs/>
        </w:rPr>
      </w:pPr>
    </w:p>
    <w:p>
      <w:pPr>
        <w:pStyle w:val="5"/>
        <w:adjustRightInd w:val="0"/>
        <w:snapToGrid w:val="0"/>
        <w:spacing w:before="0" w:beforeAutospacing="0" w:after="0" w:afterAutospacing="0" w:line="360" w:lineRule="auto"/>
        <w:rPr>
          <w:rFonts w:ascii="黑体" w:hAnsi="黑体" w:eastAsia="黑体"/>
          <w:b/>
          <w:bCs/>
        </w:rPr>
      </w:pPr>
      <w:r>
        <w:rPr>
          <w:rFonts w:hint="eastAsia" w:ascii="黑体" w:hAnsi="黑体" w:eastAsia="黑体"/>
          <w:b/>
          <w:bCs/>
        </w:rPr>
        <w:t>六、考核方式和录取办法</w:t>
      </w:r>
    </w:p>
    <w:p>
      <w:pPr>
        <w:pStyle w:val="5"/>
        <w:adjustRightInd w:val="0"/>
        <w:snapToGrid w:val="0"/>
        <w:spacing w:before="0" w:beforeAutospacing="0" w:after="0" w:afterAutospacing="0" w:line="360" w:lineRule="auto"/>
        <w:rPr>
          <w:rFonts w:ascii="仿宋_GB2312" w:hAnsi="楷体" w:eastAsia="仿宋_GB2312"/>
        </w:rPr>
      </w:pPr>
      <w:r>
        <w:rPr>
          <w:rFonts w:hint="eastAsia" w:ascii="仿宋_GB2312" w:hAnsi="楷体" w:eastAsia="仿宋_GB2312"/>
        </w:rPr>
        <w:t>（一）考核方式</w:t>
      </w:r>
      <w:bookmarkStart w:id="2" w:name="_GoBack"/>
      <w:bookmarkEnd w:id="2"/>
    </w:p>
    <w:p>
      <w:pPr>
        <w:pStyle w:val="5"/>
        <w:adjustRightInd w:val="0"/>
        <w:snapToGrid w:val="0"/>
        <w:spacing w:before="0" w:beforeAutospacing="0" w:after="0" w:afterAutospacing="0" w:line="360" w:lineRule="auto"/>
        <w:ind w:firstLine="480"/>
        <w:rPr>
          <w:rFonts w:ascii="仿宋_GB2312" w:hAnsi="楷体" w:eastAsia="仿宋_GB2312"/>
        </w:rPr>
      </w:pPr>
      <w:r>
        <w:rPr>
          <w:rFonts w:hint="eastAsia" w:ascii="仿宋_GB2312" w:hAnsi="楷体" w:eastAsia="仿宋_GB2312"/>
          <w:bCs/>
        </w:rPr>
        <w:t>学校根据浙江省教育考试院提供的考生名单组织职业适应性综合测试（以下简称“综合测试”）</w:t>
      </w:r>
      <w:r>
        <w:rPr>
          <w:rFonts w:hint="eastAsia" w:ascii="仿宋_GB2312" w:hAnsi="楷体" w:eastAsia="仿宋_GB2312"/>
        </w:rPr>
        <w:t>，未按要求参加综合测试的考生视为放弃申请报考资格，不能进入后续的录取环节（免综合测试的考生除外）。</w:t>
      </w:r>
    </w:p>
    <w:p>
      <w:pPr>
        <w:pStyle w:val="5"/>
        <w:adjustRightInd w:val="0"/>
        <w:snapToGrid w:val="0"/>
        <w:spacing w:before="0" w:beforeAutospacing="0" w:after="0" w:afterAutospacing="0" w:line="360" w:lineRule="auto"/>
        <w:ind w:firstLine="480"/>
        <w:rPr>
          <w:rFonts w:ascii="仿宋_GB2312" w:hAnsi="楷体" w:eastAsia="仿宋_GB2312"/>
        </w:rPr>
      </w:pPr>
      <w:r>
        <w:rPr>
          <w:rFonts w:hint="eastAsia" w:ascii="仿宋_GB2312" w:hAnsi="楷体" w:eastAsia="仿宋_GB2312"/>
        </w:rPr>
        <w:t>1、综合测试时间和地点</w:t>
      </w:r>
    </w:p>
    <w:p>
      <w:pPr>
        <w:pStyle w:val="5"/>
        <w:adjustRightInd w:val="0"/>
        <w:snapToGrid w:val="0"/>
        <w:spacing w:before="0" w:beforeAutospacing="0" w:after="0" w:afterAutospacing="0" w:line="360" w:lineRule="auto"/>
        <w:ind w:firstLine="480"/>
        <w:rPr>
          <w:rFonts w:ascii="仿宋_GB2312" w:hAnsi="楷体" w:eastAsia="仿宋_GB2312"/>
        </w:rPr>
      </w:pPr>
      <w:r>
        <w:rPr>
          <w:rFonts w:hint="eastAsia" w:ascii="仿宋_GB2312" w:hAnsi="楷体" w:eastAsia="仿宋_GB2312"/>
        </w:rPr>
        <w:t>（1）时间：以学校官网</w:t>
      </w:r>
      <w:r>
        <w:rPr>
          <w:rFonts w:hint="eastAsia" w:ascii="仿宋_GB2312" w:hAnsi="Times New Roman" w:eastAsia="仿宋_GB2312"/>
        </w:rPr>
        <w:t>“招生专栏”</w:t>
      </w:r>
      <w:r>
        <w:rPr>
          <w:rFonts w:hint="eastAsia" w:ascii="仿宋_GB2312" w:hAnsi="楷体" w:eastAsia="仿宋_GB2312"/>
        </w:rPr>
        <w:t>公布的时间为准。</w:t>
      </w:r>
    </w:p>
    <w:p>
      <w:pPr>
        <w:pStyle w:val="5"/>
        <w:adjustRightInd w:val="0"/>
        <w:snapToGrid w:val="0"/>
        <w:spacing w:before="0" w:beforeAutospacing="0" w:after="0" w:afterAutospacing="0" w:line="360" w:lineRule="auto"/>
        <w:ind w:firstLine="480"/>
        <w:rPr>
          <w:rFonts w:ascii="仿宋_GB2312" w:hAnsi="楷体" w:eastAsia="仿宋_GB2312"/>
        </w:rPr>
      </w:pPr>
      <w:r>
        <w:rPr>
          <w:rFonts w:hint="eastAsia" w:ascii="仿宋_GB2312" w:hAnsi="楷体" w:eastAsia="仿宋_GB2312"/>
        </w:rPr>
        <w:t>（2）地点：同济大学浙江学院（浙江省嘉兴市商务大道168号）。</w:t>
      </w:r>
    </w:p>
    <w:p>
      <w:pPr>
        <w:pStyle w:val="5"/>
        <w:adjustRightInd w:val="0"/>
        <w:snapToGrid w:val="0"/>
        <w:spacing w:before="0" w:beforeAutospacing="0" w:after="0" w:afterAutospacing="0" w:line="360" w:lineRule="auto"/>
        <w:ind w:firstLine="480"/>
        <w:rPr>
          <w:rFonts w:ascii="仿宋_GB2312" w:hAnsi="楷体" w:eastAsia="仿宋_GB2312"/>
        </w:rPr>
      </w:pPr>
      <w:r>
        <w:rPr>
          <w:rFonts w:hint="eastAsia" w:ascii="仿宋_GB2312" w:hAnsi="楷体" w:eastAsia="仿宋_GB2312"/>
        </w:rPr>
        <w:t>2、综合测试方式及内容</w:t>
      </w:r>
    </w:p>
    <w:p>
      <w:pPr>
        <w:pStyle w:val="5"/>
        <w:adjustRightInd w:val="0"/>
        <w:snapToGrid w:val="0"/>
        <w:spacing w:before="0" w:beforeAutospacing="0" w:after="0" w:afterAutospacing="0" w:line="360" w:lineRule="auto"/>
        <w:ind w:firstLine="480"/>
        <w:rPr>
          <w:rFonts w:ascii="仿宋_GB2312" w:hAnsi="楷体" w:eastAsia="仿宋_GB2312"/>
        </w:rPr>
      </w:pPr>
      <w:r>
        <w:rPr>
          <w:rFonts w:hint="eastAsia" w:ascii="仿宋_GB2312" w:hAnsi="楷体" w:eastAsia="仿宋_GB2312"/>
        </w:rPr>
        <w:t>综合测试方式：笔试。主要考核学生的综合素质和专业潜质。</w:t>
      </w:r>
    </w:p>
    <w:p>
      <w:pPr>
        <w:pStyle w:val="5"/>
        <w:adjustRightInd w:val="0"/>
        <w:snapToGrid w:val="0"/>
        <w:spacing w:before="0" w:beforeAutospacing="0" w:after="0" w:afterAutospacing="0" w:line="360" w:lineRule="auto"/>
        <w:ind w:firstLine="480"/>
        <w:rPr>
          <w:rFonts w:ascii="仿宋_GB2312" w:hAnsi="楷体" w:eastAsia="仿宋_GB2312"/>
        </w:rPr>
      </w:pPr>
      <w:r>
        <w:rPr>
          <w:rFonts w:hint="eastAsia" w:ascii="仿宋_GB2312" w:hAnsi="楷体" w:eastAsia="仿宋_GB2312"/>
        </w:rPr>
        <w:t>测试内容主要由政治法治素养（满分40分）、军事理论素养（满分</w:t>
      </w:r>
      <w:r>
        <w:rPr>
          <w:rFonts w:hint="eastAsia" w:ascii="仿宋_GB2312" w:hAnsi="楷体" w:eastAsia="仿宋_GB2312"/>
          <w:lang w:val="en-US" w:eastAsia="zh-CN"/>
        </w:rPr>
        <w:t>3</w:t>
      </w:r>
      <w:r>
        <w:rPr>
          <w:rFonts w:hint="eastAsia" w:ascii="仿宋_GB2312" w:hAnsi="楷体" w:eastAsia="仿宋_GB2312"/>
        </w:rPr>
        <w:t>0分）和专业潜质（满分</w:t>
      </w:r>
      <w:r>
        <w:rPr>
          <w:rFonts w:hint="eastAsia" w:ascii="仿宋_GB2312" w:hAnsi="楷体" w:eastAsia="仿宋_GB2312"/>
          <w:lang w:val="en-US" w:eastAsia="zh-CN"/>
        </w:rPr>
        <w:t>3</w:t>
      </w:r>
      <w:r>
        <w:rPr>
          <w:rFonts w:hint="eastAsia" w:ascii="仿宋_GB2312" w:hAnsi="楷体" w:eastAsia="仿宋_GB2312"/>
        </w:rPr>
        <w:t>0分）三部分组成，综合测试成绩总分为100分。</w:t>
      </w:r>
    </w:p>
    <w:p>
      <w:pPr>
        <w:pStyle w:val="5"/>
        <w:adjustRightInd w:val="0"/>
        <w:snapToGrid w:val="0"/>
        <w:spacing w:before="0" w:beforeAutospacing="0" w:after="0" w:afterAutospacing="0" w:line="360" w:lineRule="auto"/>
        <w:ind w:firstLine="480"/>
        <w:rPr>
          <w:rFonts w:ascii="仿宋_GB2312" w:hAnsi="楷体" w:eastAsia="仿宋_GB2312"/>
        </w:rPr>
      </w:pPr>
      <w:r>
        <w:rPr>
          <w:rFonts w:hint="eastAsia" w:ascii="仿宋_GB2312" w:hAnsi="楷体" w:eastAsia="仿宋_GB2312"/>
        </w:rPr>
        <w:t>3、其他事项</w:t>
      </w:r>
    </w:p>
    <w:p>
      <w:pPr>
        <w:pStyle w:val="5"/>
        <w:adjustRightInd w:val="0"/>
        <w:snapToGrid w:val="0"/>
        <w:spacing w:before="0" w:beforeAutospacing="0" w:after="0" w:afterAutospacing="0" w:line="360" w:lineRule="auto"/>
        <w:ind w:firstLine="480"/>
        <w:rPr>
          <w:rFonts w:ascii="仿宋_GB2312" w:eastAsia="仿宋_GB2312"/>
        </w:rPr>
      </w:pPr>
      <w:r>
        <w:rPr>
          <w:rFonts w:hint="eastAsia" w:ascii="仿宋_GB2312" w:hAnsi="楷体" w:eastAsia="仿宋_GB2312"/>
        </w:rPr>
        <w:t>（1）</w:t>
      </w:r>
      <w:r>
        <w:rPr>
          <w:rFonts w:hint="eastAsia" w:ascii="仿宋_GB2312" w:eastAsia="仿宋_GB2312"/>
        </w:rPr>
        <w:t>荣立三等功以上且符合报考资格的考生，优先录取，无需参加学校组织的综合测试，对应专业招生计划数根据其录取结果做相应扣减。</w:t>
      </w:r>
    </w:p>
    <w:p>
      <w:pPr>
        <w:pStyle w:val="5"/>
        <w:adjustRightInd w:val="0"/>
        <w:snapToGrid w:val="0"/>
        <w:spacing w:before="0" w:beforeAutospacing="0" w:after="0" w:afterAutospacing="0" w:line="360" w:lineRule="auto"/>
        <w:ind w:firstLine="480"/>
        <w:rPr>
          <w:rFonts w:ascii="仿宋_GB2312" w:eastAsia="仿宋_GB2312"/>
        </w:rPr>
      </w:pPr>
      <w:bookmarkStart w:id="1" w:name="_Hlk92282509"/>
      <w:r>
        <w:rPr>
          <w:rFonts w:hint="eastAsia" w:ascii="仿宋_GB2312" w:hAnsi="楷体" w:eastAsia="仿宋_GB2312"/>
        </w:rPr>
        <w:t>（2）</w:t>
      </w:r>
      <w:bookmarkEnd w:id="1"/>
      <w:r>
        <w:rPr>
          <w:rFonts w:hint="eastAsia" w:ascii="仿宋_GB2312" w:eastAsia="仿宋_GB2312"/>
        </w:rPr>
        <w:t>若浙江省教育考试院提供的当轮考生人数少于或等于对应招生类别和招生专业的剩余计划数，符合报考资格的考生均录取，不再组织本轮综合测试。</w:t>
      </w:r>
    </w:p>
    <w:p>
      <w:pPr>
        <w:pStyle w:val="5"/>
        <w:adjustRightInd w:val="0"/>
        <w:snapToGrid w:val="0"/>
        <w:spacing w:before="0" w:beforeAutospacing="0" w:after="0" w:afterAutospacing="0" w:line="360" w:lineRule="auto"/>
        <w:rPr>
          <w:rFonts w:ascii="仿宋_GB2312" w:hAnsi="楷体" w:eastAsia="仿宋_GB2312"/>
          <w:bCs/>
        </w:rPr>
      </w:pPr>
      <w:r>
        <w:rPr>
          <w:rFonts w:hint="eastAsia" w:ascii="仿宋_GB2312" w:hAnsi="楷体" w:eastAsia="仿宋_GB2312"/>
          <w:bCs/>
        </w:rPr>
        <w:t>（二）录取办法</w:t>
      </w:r>
    </w:p>
    <w:p>
      <w:pPr>
        <w:pStyle w:val="5"/>
        <w:adjustRightInd w:val="0"/>
        <w:snapToGrid w:val="0"/>
        <w:spacing w:before="0" w:beforeAutospacing="0" w:after="0" w:afterAutospacing="0" w:line="360" w:lineRule="auto"/>
        <w:ind w:firstLine="480" w:firstLineChars="200"/>
        <w:rPr>
          <w:rFonts w:ascii="仿宋_GB2312" w:hAnsi="楷体" w:eastAsia="仿宋_GB2312"/>
          <w:bCs/>
        </w:rPr>
      </w:pPr>
      <w:r>
        <w:rPr>
          <w:rFonts w:hint="eastAsia" w:ascii="仿宋_GB2312" w:hAnsi="楷体" w:eastAsia="仿宋_GB2312"/>
          <w:bCs/>
        </w:rPr>
        <w:t>1、</w:t>
      </w:r>
      <w:r>
        <w:rPr>
          <w:rFonts w:hint="eastAsia" w:ascii="仿宋_GB2312" w:eastAsia="仿宋_GB2312"/>
        </w:rPr>
        <w:t>学校将依据综合测试成绩，根据“分数优先、遵循志愿”原则择优录取，专业志愿间无级差分。若考生综合测试成绩相同，则按单项顺序及分数高低排序，单项顺序排列依次为：政治法制素养、军事理论素养、专业潜质。</w:t>
      </w:r>
    </w:p>
    <w:p>
      <w:pPr>
        <w:widowControl/>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2、学校对所填专业志愿均不能满足的考生，作退档处理。未被我校录取的，进入后续志愿的投档程序。</w:t>
      </w:r>
    </w:p>
    <w:p>
      <w:pPr>
        <w:widowControl/>
        <w:spacing w:line="360" w:lineRule="auto"/>
        <w:ind w:firstLine="480" w:firstLineChars="200"/>
        <w:jc w:val="left"/>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3、若第一志愿拟录取后仍有剩余计划，则根据浙江省教育考试院提供的第二志愿名单按第一志愿录取的工作流程进行。以此类推，直至第三志愿结束。具体时间将根据浙江省教育考试院免试专升本录取工作进程作相应调整，请有关考生及时关注学校官网</w:t>
      </w:r>
      <w:r>
        <w:rPr>
          <w:rFonts w:hint="eastAsia" w:ascii="仿宋_GB2312" w:hAnsi="Times New Roman" w:eastAsia="仿宋_GB2312"/>
          <w:color w:val="auto"/>
          <w:sz w:val="24"/>
          <w:szCs w:val="24"/>
        </w:rPr>
        <w:t>“招生专栏”</w:t>
      </w:r>
      <w:r>
        <w:rPr>
          <w:rFonts w:hint="eastAsia" w:ascii="仿宋_GB2312" w:hAnsi="宋体" w:eastAsia="仿宋_GB2312" w:cs="宋体"/>
          <w:color w:val="auto"/>
          <w:kern w:val="0"/>
          <w:sz w:val="24"/>
          <w:szCs w:val="24"/>
        </w:rPr>
        <w:t>。</w:t>
      </w:r>
    </w:p>
    <w:p>
      <w:pPr>
        <w:widowControl/>
        <w:spacing w:line="360" w:lineRule="auto"/>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4、学校录取结果按照教育部和浙江省教育考试院的有关要求及规定的形式进行公布，考生可登陆学校官网</w:t>
      </w:r>
      <w:r>
        <w:rPr>
          <w:rFonts w:hint="eastAsia" w:ascii="仿宋_GB2312" w:hAnsi="Times New Roman" w:eastAsia="仿宋_GB2312"/>
          <w:sz w:val="24"/>
          <w:szCs w:val="24"/>
        </w:rPr>
        <w:t>“招生专栏”</w:t>
      </w:r>
      <w:r>
        <w:rPr>
          <w:rFonts w:hint="eastAsia" w:ascii="仿宋_GB2312" w:hAnsi="宋体" w:eastAsia="仿宋_GB2312" w:cs="宋体"/>
          <w:kern w:val="0"/>
          <w:sz w:val="24"/>
          <w:szCs w:val="24"/>
        </w:rPr>
        <w:t>查询。</w:t>
      </w:r>
    </w:p>
    <w:p>
      <w:pPr>
        <w:spacing w:line="360" w:lineRule="auto"/>
        <w:ind w:firstLine="480" w:firstLineChars="200"/>
        <w:rPr>
          <w:rFonts w:ascii="仿宋_GB2312" w:hAnsi="宋体" w:eastAsia="仿宋_GB2312" w:cs="宋体"/>
          <w:kern w:val="0"/>
          <w:sz w:val="24"/>
          <w:szCs w:val="24"/>
        </w:rPr>
      </w:pPr>
      <w:r>
        <w:rPr>
          <w:rFonts w:hint="eastAsia" w:ascii="仿宋_GB2312" w:hAnsi="宋体" w:eastAsia="仿宋_GB2312" w:cs="宋体"/>
          <w:kern w:val="0"/>
          <w:sz w:val="24"/>
          <w:szCs w:val="24"/>
        </w:rPr>
        <w:t>5、学校对录取新生的健康要求，按教育部、卫生部、中国残疾人联合会印发的《普通高等学校招生体检工作指导意见》等有关规定执行。</w:t>
      </w:r>
    </w:p>
    <w:p>
      <w:pPr>
        <w:spacing w:line="360" w:lineRule="auto"/>
        <w:rPr>
          <w:rFonts w:ascii="黑体" w:hAnsi="黑体" w:eastAsia="黑体"/>
          <w:b/>
          <w:sz w:val="24"/>
          <w:szCs w:val="24"/>
        </w:rPr>
      </w:pPr>
      <w:r>
        <w:rPr>
          <w:rFonts w:hint="eastAsia" w:ascii="黑体" w:hAnsi="黑体" w:eastAsia="黑体"/>
          <w:b/>
          <w:sz w:val="24"/>
          <w:szCs w:val="24"/>
        </w:rPr>
        <w:t>七、新生报到和入学复查</w:t>
      </w:r>
    </w:p>
    <w:p>
      <w:pPr>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1、新生凭录取通知书、退役证件和普通高校高职（专科）毕业证书原件到录取高校报到注册。</w:t>
      </w:r>
    </w:p>
    <w:p>
      <w:pPr>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2、新生入学后，高校要进行信息核查，对不符合报考条件、报到条件、身体条件和录取标准以及弄虚作假、违纪舞弊者，取消其入学资格，并报浙江省教育考试院备案。</w:t>
      </w:r>
    </w:p>
    <w:p>
      <w:pPr>
        <w:spacing w:line="360" w:lineRule="auto"/>
        <w:rPr>
          <w:rFonts w:ascii="黑体" w:hAnsi="黑体" w:eastAsia="黑体"/>
          <w:b/>
          <w:sz w:val="24"/>
          <w:szCs w:val="24"/>
        </w:rPr>
      </w:pPr>
      <w:r>
        <w:rPr>
          <w:rFonts w:hint="eastAsia" w:ascii="黑体" w:hAnsi="黑体" w:eastAsia="黑体"/>
          <w:b/>
          <w:sz w:val="24"/>
          <w:szCs w:val="24"/>
        </w:rPr>
        <w:t>八、收费标准</w:t>
      </w:r>
    </w:p>
    <w:p>
      <w:pPr>
        <w:widowControl/>
        <w:adjustRightInd w:val="0"/>
        <w:spacing w:line="360" w:lineRule="auto"/>
        <w:ind w:firstLine="480" w:firstLineChars="200"/>
        <w:rPr>
          <w:rFonts w:ascii="仿宋_GB2312" w:hAnsi="Times New Roman" w:eastAsia="仿宋_GB2312"/>
          <w:sz w:val="24"/>
          <w:szCs w:val="24"/>
        </w:rPr>
      </w:pPr>
      <w:r>
        <w:rPr>
          <w:rFonts w:ascii="仿宋_GB2312" w:hAnsi="Times New Roman" w:eastAsia="仿宋_GB2312"/>
          <w:sz w:val="24"/>
          <w:szCs w:val="24"/>
        </w:rPr>
        <w:t>1</w:t>
      </w:r>
      <w:r>
        <w:rPr>
          <w:rFonts w:hint="eastAsia" w:ascii="仿宋_GB2312" w:hAnsi="Times New Roman" w:eastAsia="仿宋_GB2312"/>
          <w:sz w:val="24"/>
          <w:szCs w:val="24"/>
        </w:rPr>
        <w:t>、学费  2022年入学新生实行学分制收费。</w:t>
      </w:r>
      <w:r>
        <w:rPr>
          <w:rFonts w:ascii="仿宋_GB2312" w:hAnsi="Times New Roman" w:eastAsia="仿宋_GB2312"/>
          <w:sz w:val="24"/>
          <w:szCs w:val="24"/>
        </w:rPr>
        <w:t>新生入学时按学年学费标准预交</w:t>
      </w:r>
      <w:r>
        <w:rPr>
          <w:rFonts w:hint="eastAsia" w:ascii="仿宋_GB2312" w:hAnsi="Times New Roman" w:eastAsia="仿宋_GB2312"/>
          <w:sz w:val="24"/>
          <w:szCs w:val="24"/>
        </w:rPr>
        <w:t>第一学年</w:t>
      </w:r>
      <w:r>
        <w:rPr>
          <w:rFonts w:ascii="仿宋_GB2312" w:hAnsi="Times New Roman" w:eastAsia="仿宋_GB2312"/>
          <w:sz w:val="24"/>
          <w:szCs w:val="24"/>
        </w:rPr>
        <w:t>学费，</w:t>
      </w:r>
      <w:r>
        <w:rPr>
          <w:rFonts w:hint="eastAsia" w:ascii="仿宋_GB2312" w:hAnsi="Times New Roman" w:eastAsia="仿宋_GB2312"/>
          <w:sz w:val="24"/>
          <w:szCs w:val="24"/>
        </w:rPr>
        <w:t>以后</w:t>
      </w:r>
      <w:r>
        <w:rPr>
          <w:rFonts w:ascii="仿宋_GB2312" w:hAnsi="Times New Roman" w:eastAsia="仿宋_GB2312"/>
          <w:sz w:val="24"/>
          <w:szCs w:val="24"/>
        </w:rPr>
        <w:t>按年度结算</w:t>
      </w:r>
      <w:r>
        <w:rPr>
          <w:rFonts w:hint="eastAsia" w:ascii="仿宋_GB2312" w:hAnsi="Times New Roman" w:eastAsia="仿宋_GB2312"/>
          <w:sz w:val="24"/>
          <w:szCs w:val="24"/>
        </w:rPr>
        <w:t>，具体标准如下：</w:t>
      </w:r>
    </w:p>
    <w:tbl>
      <w:tblPr>
        <w:tblStyle w:val="6"/>
        <w:tblW w:w="8760"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338"/>
        <w:gridCol w:w="44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4338" w:type="dxa"/>
            <w:vAlign w:val="center"/>
          </w:tcPr>
          <w:p>
            <w:pPr>
              <w:widowControl/>
              <w:adjustRightInd w:val="0"/>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专业</w:t>
            </w:r>
          </w:p>
        </w:tc>
        <w:tc>
          <w:tcPr>
            <w:tcW w:w="4422" w:type="dxa"/>
            <w:vAlign w:val="center"/>
          </w:tcPr>
          <w:p>
            <w:pPr>
              <w:widowControl/>
              <w:adjustRightInd w:val="0"/>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收费标准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4338" w:type="dxa"/>
            <w:vAlign w:val="center"/>
          </w:tcPr>
          <w:p>
            <w:pPr>
              <w:widowControl/>
              <w:adjustRightInd w:val="0"/>
              <w:spacing w:line="360" w:lineRule="auto"/>
              <w:jc w:val="center"/>
              <w:rPr>
                <w:rFonts w:hint="default"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机械电子工程</w:t>
            </w:r>
          </w:p>
        </w:tc>
        <w:tc>
          <w:tcPr>
            <w:tcW w:w="4422" w:type="dxa"/>
            <w:vAlign w:val="center"/>
          </w:tcPr>
          <w:p>
            <w:pPr>
              <w:widowControl/>
              <w:adjustRightInd w:val="0"/>
              <w:spacing w:line="360" w:lineRule="auto"/>
              <w:jc w:val="center"/>
              <w:rPr>
                <w:rFonts w:hint="eastAsia" w:ascii="仿宋_GB2312" w:hAnsi="Times New Roman" w:eastAsia="仿宋_GB2312"/>
                <w:sz w:val="24"/>
                <w:szCs w:val="24"/>
              </w:rPr>
            </w:pPr>
            <w:r>
              <w:rPr>
                <w:rFonts w:hint="eastAsia" w:ascii="仿宋_GB2312" w:hAnsi="Times New Roman" w:eastAsia="仿宋_GB2312"/>
                <w:sz w:val="24"/>
                <w:szCs w:val="24"/>
              </w:rPr>
              <w:t>2</w:t>
            </w:r>
            <w:r>
              <w:rPr>
                <w:rFonts w:hint="eastAsia" w:ascii="仿宋_GB2312" w:hAnsi="Times New Roman" w:eastAsia="仿宋_GB2312"/>
                <w:sz w:val="24"/>
                <w:szCs w:val="24"/>
                <w:lang w:val="en-US" w:eastAsia="zh-CN"/>
              </w:rPr>
              <w:t>000</w:t>
            </w:r>
            <w:r>
              <w:rPr>
                <w:rFonts w:hint="eastAsia" w:ascii="仿宋_GB2312" w:hAnsi="Times New Roman" w:eastAsia="仿宋_GB2312"/>
                <w:sz w:val="24"/>
                <w:szCs w:val="24"/>
              </w:rPr>
              <w:t>0元</w:t>
            </w:r>
            <w:r>
              <w:rPr>
                <w:rFonts w:ascii="仿宋_GB2312" w:hAnsi="Times New Roman" w:eastAsia="仿宋_GB2312"/>
                <w:sz w:val="24"/>
                <w:szCs w:val="24"/>
              </w:rPr>
              <w:t>/</w:t>
            </w:r>
            <w:r>
              <w:rPr>
                <w:rFonts w:hint="eastAsia" w:ascii="仿宋_GB2312" w:hAnsi="Times New Roman" w:eastAsia="仿宋_GB2312"/>
                <w:sz w:val="24"/>
                <w:szCs w:val="24"/>
              </w:rPr>
              <w:t>生</w:t>
            </w:r>
            <w:r>
              <w:rPr>
                <w:rFonts w:hint="cs" w:ascii="仿宋_GB2312" w:hAnsi="Times New Roman" w:eastAsia="仿宋_GB2312"/>
                <w:sz w:val="24"/>
                <w:szCs w:val="24"/>
              </w:rPr>
              <w:t>•</w:t>
            </w:r>
            <w:r>
              <w:rPr>
                <w:rFonts w:hint="eastAsia" w:ascii="仿宋_GB2312" w:hAnsi="Times New Roman" w:eastAsia="仿宋_GB2312"/>
                <w:sz w:val="24"/>
                <w:szCs w:val="24"/>
              </w:rPr>
              <w:t>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4338" w:type="dxa"/>
            <w:vAlign w:val="center"/>
          </w:tcPr>
          <w:p>
            <w:pPr>
              <w:widowControl/>
              <w:adjustRightInd w:val="0"/>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行政管理</w:t>
            </w:r>
          </w:p>
        </w:tc>
        <w:tc>
          <w:tcPr>
            <w:tcW w:w="4422" w:type="dxa"/>
            <w:vAlign w:val="center"/>
          </w:tcPr>
          <w:p>
            <w:pPr>
              <w:widowControl/>
              <w:adjustRightInd w:val="0"/>
              <w:spacing w:line="360" w:lineRule="auto"/>
              <w:jc w:val="center"/>
              <w:rPr>
                <w:rFonts w:ascii="仿宋_GB2312" w:hAnsi="Times New Roman" w:eastAsia="仿宋_GB2312"/>
                <w:sz w:val="24"/>
                <w:szCs w:val="24"/>
              </w:rPr>
            </w:pPr>
            <w:r>
              <w:rPr>
                <w:rFonts w:hint="eastAsia" w:ascii="仿宋_GB2312" w:hAnsi="Times New Roman" w:eastAsia="仿宋_GB2312"/>
                <w:sz w:val="24"/>
                <w:szCs w:val="24"/>
              </w:rPr>
              <w:t>24750元</w:t>
            </w:r>
            <w:r>
              <w:rPr>
                <w:rFonts w:ascii="仿宋_GB2312" w:hAnsi="Times New Roman" w:eastAsia="仿宋_GB2312"/>
                <w:sz w:val="24"/>
                <w:szCs w:val="24"/>
              </w:rPr>
              <w:t>/</w:t>
            </w:r>
            <w:r>
              <w:rPr>
                <w:rFonts w:hint="eastAsia" w:ascii="仿宋_GB2312" w:hAnsi="Times New Roman" w:eastAsia="仿宋_GB2312"/>
                <w:sz w:val="24"/>
                <w:szCs w:val="24"/>
              </w:rPr>
              <w:t>生</w:t>
            </w:r>
            <w:r>
              <w:rPr>
                <w:rFonts w:hint="cs" w:ascii="仿宋_GB2312" w:hAnsi="Times New Roman" w:eastAsia="仿宋_GB2312"/>
                <w:sz w:val="24"/>
                <w:szCs w:val="24"/>
              </w:rPr>
              <w:t>•</w:t>
            </w:r>
            <w:r>
              <w:rPr>
                <w:rFonts w:hint="eastAsia" w:ascii="仿宋_GB2312" w:hAnsi="Times New Roman" w:eastAsia="仿宋_GB2312"/>
                <w:sz w:val="24"/>
                <w:szCs w:val="24"/>
              </w:rPr>
              <w:t>年</w:t>
            </w:r>
          </w:p>
        </w:tc>
      </w:tr>
    </w:tbl>
    <w:p>
      <w:pPr>
        <w:widowControl/>
        <w:adjustRightInd w:val="0"/>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2、住宿费  2500元/生·年，学校按照新生专业分布和实际房源情况统一安排住宿。</w:t>
      </w:r>
    </w:p>
    <w:p>
      <w:pPr>
        <w:pStyle w:val="5"/>
        <w:adjustRightInd w:val="0"/>
        <w:snapToGrid w:val="0"/>
        <w:spacing w:before="0" w:beforeAutospacing="0" w:after="0" w:afterAutospacing="0" w:line="360" w:lineRule="auto"/>
        <w:rPr>
          <w:rFonts w:ascii="仿宋_GB2312" w:hAnsi="楷体" w:eastAsia="仿宋_GB2312"/>
          <w:b/>
          <w:bCs/>
        </w:rPr>
      </w:pPr>
      <w:r>
        <w:rPr>
          <w:rFonts w:hint="eastAsia" w:ascii="仿宋_GB2312" w:hAnsi="楷体" w:eastAsia="仿宋_GB2312"/>
          <w:b/>
          <w:bCs/>
        </w:rPr>
        <w:t>九、其他</w:t>
      </w:r>
    </w:p>
    <w:p>
      <w:pPr>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1、学生除享有国家提供的各项奖、助学金外，还有校优秀学生奖学金，奖励在校学习优秀者。同时还设有多种专项奖学金。</w:t>
      </w:r>
    </w:p>
    <w:p>
      <w:pPr>
        <w:widowControl/>
        <w:tabs>
          <w:tab w:val="left" w:pos="842"/>
        </w:tabs>
        <w:adjustRightInd w:val="0"/>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2、学校向学有余力的学生提供一定数量的勤工助学岗位，经济困难的学生可优先申请。</w:t>
      </w:r>
    </w:p>
    <w:p>
      <w:pPr>
        <w:widowControl/>
        <w:tabs>
          <w:tab w:val="left" w:pos="842"/>
        </w:tabs>
        <w:adjustRightInd w:val="0"/>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3、学校选拔录取工作严格按照“公正、公平、公开”原则，坚持标准，宁缺毋滥。选拔录取工作由学校纪检监察部门全程参与，并接受社会监督。监督电话：</w:t>
      </w:r>
      <w:r>
        <w:rPr>
          <w:rFonts w:ascii="仿宋_GB2312" w:hAnsi="Times New Roman" w:eastAsia="仿宋_GB2312"/>
          <w:sz w:val="24"/>
          <w:szCs w:val="24"/>
        </w:rPr>
        <w:t>0573-82878218</w:t>
      </w:r>
      <w:r>
        <w:rPr>
          <w:rFonts w:hint="eastAsia" w:ascii="仿宋_GB2312" w:hAnsi="Times New Roman" w:eastAsia="仿宋_GB2312"/>
          <w:sz w:val="24"/>
          <w:szCs w:val="24"/>
        </w:rPr>
        <w:t>。</w:t>
      </w:r>
    </w:p>
    <w:p>
      <w:pPr>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4、考生应本着“诚信”的原则，提供真实准确的报名申请材料，对考生存在弄虚作假行为按教育部令第</w:t>
      </w:r>
      <w:r>
        <w:rPr>
          <w:rFonts w:ascii="仿宋_GB2312" w:hAnsi="Times New Roman" w:eastAsia="仿宋_GB2312"/>
          <w:sz w:val="24"/>
          <w:szCs w:val="24"/>
        </w:rPr>
        <w:t>36</w:t>
      </w:r>
      <w:r>
        <w:rPr>
          <w:rFonts w:hint="eastAsia" w:ascii="仿宋_GB2312" w:hAnsi="Times New Roman" w:eastAsia="仿宋_GB2312"/>
          <w:sz w:val="24"/>
          <w:szCs w:val="24"/>
        </w:rPr>
        <w:t>号严肃处理。考生有下列情形之一的，应当如实记入其考试诚信档案。下列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pPr>
        <w:spacing w:line="360" w:lineRule="auto"/>
        <w:ind w:firstLine="480" w:firstLineChars="200"/>
        <w:rPr>
          <w:rFonts w:ascii="仿宋_GB2312" w:hAnsi="Times New Roman" w:eastAsia="仿宋_GB2312"/>
          <w:sz w:val="24"/>
          <w:szCs w:val="24"/>
        </w:rPr>
      </w:pPr>
      <w:r>
        <w:rPr>
          <w:rFonts w:ascii="仿宋_GB2312" w:hAnsi="Times New Roman" w:eastAsia="仿宋_GB2312"/>
          <w:sz w:val="24"/>
          <w:szCs w:val="24"/>
        </w:rPr>
        <w:t>(1)</w:t>
      </w:r>
      <w:r>
        <w:rPr>
          <w:rFonts w:hint="eastAsia" w:ascii="仿宋_GB2312" w:hAnsi="Times New Roman" w:eastAsia="仿宋_GB2312"/>
          <w:sz w:val="24"/>
          <w:szCs w:val="24"/>
        </w:rPr>
        <w:t>提供虚假姓名、年龄、民族、户籍等个人信息，伪造、非法获得证件、成绩证明、荣誉证书等，骗取报名资格、享受优惠政策的；</w:t>
      </w:r>
    </w:p>
    <w:p>
      <w:pPr>
        <w:spacing w:line="360" w:lineRule="auto"/>
        <w:ind w:firstLine="480" w:firstLineChars="200"/>
        <w:rPr>
          <w:rFonts w:ascii="仿宋_GB2312" w:hAnsi="Times New Roman" w:eastAsia="仿宋_GB2312"/>
          <w:sz w:val="24"/>
          <w:szCs w:val="24"/>
        </w:rPr>
      </w:pPr>
      <w:r>
        <w:rPr>
          <w:rFonts w:ascii="仿宋_GB2312" w:hAnsi="Times New Roman" w:eastAsia="仿宋_GB2312"/>
          <w:sz w:val="24"/>
          <w:szCs w:val="24"/>
        </w:rPr>
        <w:t>(2)</w:t>
      </w:r>
      <w:r>
        <w:rPr>
          <w:rFonts w:hint="eastAsia" w:ascii="仿宋_GB2312" w:hAnsi="Times New Roman" w:eastAsia="仿宋_GB2312"/>
          <w:sz w:val="24"/>
          <w:szCs w:val="24"/>
        </w:rPr>
        <w:t>在综合素质评价、相关申请材料中提供虚假材料、影响录取结果的；</w:t>
      </w:r>
    </w:p>
    <w:p>
      <w:pPr>
        <w:spacing w:line="360" w:lineRule="auto"/>
        <w:ind w:firstLine="480" w:firstLineChars="200"/>
        <w:rPr>
          <w:rFonts w:ascii="仿宋_GB2312" w:hAnsi="Times New Roman" w:eastAsia="仿宋_GB2312"/>
          <w:sz w:val="24"/>
          <w:szCs w:val="24"/>
        </w:rPr>
      </w:pPr>
      <w:r>
        <w:rPr>
          <w:rFonts w:ascii="仿宋_GB2312" w:hAnsi="Times New Roman" w:eastAsia="仿宋_GB2312"/>
          <w:sz w:val="24"/>
          <w:szCs w:val="24"/>
        </w:rPr>
        <w:t>(3)</w:t>
      </w:r>
      <w:r>
        <w:rPr>
          <w:rFonts w:hint="eastAsia" w:ascii="仿宋_GB2312" w:hAnsi="Times New Roman" w:eastAsia="仿宋_GB2312"/>
          <w:sz w:val="24"/>
          <w:szCs w:val="24"/>
        </w:rPr>
        <w:t>冒名顶替入学，由他人替考入学或者取得优惠资格的；</w:t>
      </w:r>
    </w:p>
    <w:p>
      <w:pPr>
        <w:spacing w:line="360" w:lineRule="auto"/>
        <w:ind w:firstLine="480" w:firstLineChars="200"/>
        <w:rPr>
          <w:rFonts w:ascii="仿宋_GB2312" w:hAnsi="Times New Roman" w:eastAsia="仿宋_GB2312"/>
          <w:sz w:val="24"/>
          <w:szCs w:val="24"/>
        </w:rPr>
      </w:pPr>
      <w:r>
        <w:rPr>
          <w:rFonts w:ascii="仿宋_GB2312" w:hAnsi="Times New Roman" w:eastAsia="仿宋_GB2312"/>
          <w:sz w:val="24"/>
          <w:szCs w:val="24"/>
        </w:rPr>
        <w:t>(4)</w:t>
      </w:r>
      <w:r>
        <w:rPr>
          <w:rFonts w:hint="eastAsia" w:ascii="仿宋_GB2312" w:hAnsi="Times New Roman" w:eastAsia="仿宋_GB2312"/>
          <w:sz w:val="24"/>
          <w:szCs w:val="24"/>
        </w:rPr>
        <w:t>其他严重违反高校招生规定的弄虚作假行为。</w:t>
      </w:r>
    </w:p>
    <w:p>
      <w:pPr>
        <w:spacing w:line="360" w:lineRule="auto"/>
        <w:ind w:firstLine="480" w:firstLineChars="200"/>
        <w:rPr>
          <w:rFonts w:ascii="仿宋_GB2312" w:hAnsi="Times New Roman" w:eastAsia="仿宋_GB2312"/>
          <w:sz w:val="24"/>
          <w:szCs w:val="24"/>
        </w:rPr>
      </w:pPr>
      <w:r>
        <w:rPr>
          <w:rFonts w:hint="eastAsia" w:ascii="仿宋_GB2312" w:hAnsi="Times New Roman" w:eastAsia="仿宋_GB2312"/>
          <w:sz w:val="24"/>
          <w:szCs w:val="24"/>
        </w:rPr>
        <w:t>5、学校严格执行属地疫情防控要求，制定并落实相应的招生考试疫情防控方案；若因不可抗拒因素导致招生考试工作出现特殊状况，学校免试专升本招生工作领导小组有权对招生考试安排进行调整并通告。</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6、本章程未尽事宜，参照《浙江省 2022 年退役大学生士兵免试专升本招生工作实施办法》相关规定执行。</w:t>
      </w:r>
    </w:p>
    <w:p>
      <w:pPr>
        <w:spacing w:line="360" w:lineRule="auto"/>
        <w:ind w:firstLine="480" w:firstLineChars="200"/>
        <w:rPr>
          <w:rFonts w:ascii="仿宋_GB2312" w:hAnsi="楷体" w:eastAsia="仿宋_GB2312"/>
          <w:sz w:val="24"/>
          <w:szCs w:val="24"/>
        </w:rPr>
      </w:pPr>
      <w:r>
        <w:rPr>
          <w:rFonts w:hint="eastAsia" w:ascii="仿宋_GB2312" w:hAnsi="楷体" w:eastAsia="仿宋_GB2312"/>
          <w:sz w:val="24"/>
          <w:szCs w:val="24"/>
        </w:rPr>
        <w:t>7、</w:t>
      </w:r>
      <w:r>
        <w:rPr>
          <w:rFonts w:hint="eastAsia" w:ascii="仿宋_GB2312" w:hAnsi="Times New Roman" w:eastAsia="仿宋_GB2312"/>
          <w:sz w:val="24"/>
          <w:szCs w:val="24"/>
        </w:rPr>
        <w:t>其他注意事项：考生请及时关注我校官网“招生专栏”相关信息。</w:t>
      </w:r>
    </w:p>
    <w:p>
      <w:pPr>
        <w:pStyle w:val="5"/>
        <w:adjustRightInd w:val="0"/>
        <w:snapToGrid w:val="0"/>
        <w:spacing w:before="0" w:beforeAutospacing="0" w:after="0" w:afterAutospacing="0" w:line="360" w:lineRule="auto"/>
        <w:rPr>
          <w:rFonts w:ascii="仿宋_GB2312" w:hAnsi="楷体" w:eastAsia="仿宋_GB2312"/>
          <w:b/>
          <w:bCs/>
        </w:rPr>
      </w:pPr>
    </w:p>
    <w:p>
      <w:pPr>
        <w:pStyle w:val="5"/>
        <w:adjustRightInd w:val="0"/>
        <w:snapToGrid w:val="0"/>
        <w:spacing w:before="0" w:beforeAutospacing="0" w:after="0" w:afterAutospacing="0" w:line="360" w:lineRule="auto"/>
        <w:rPr>
          <w:rFonts w:ascii="仿宋_GB2312" w:hAnsi="楷体" w:eastAsia="仿宋_GB2312"/>
          <w:b/>
          <w:bCs/>
        </w:rPr>
      </w:pPr>
      <w:r>
        <w:rPr>
          <w:rFonts w:hint="eastAsia" w:ascii="仿宋_GB2312" w:hAnsi="楷体" w:eastAsia="仿宋_GB2312"/>
          <w:b/>
          <w:bCs/>
        </w:rPr>
        <w:t>十、招生咨询、联系方式</w:t>
      </w:r>
    </w:p>
    <w:p>
      <w:pPr>
        <w:spacing w:line="360" w:lineRule="auto"/>
        <w:rPr>
          <w:rFonts w:ascii="仿宋_GB2312" w:hAnsi="Times New Roman" w:eastAsia="仿宋_GB2312"/>
          <w:sz w:val="24"/>
          <w:szCs w:val="24"/>
        </w:rPr>
      </w:pPr>
      <w:r>
        <w:rPr>
          <w:rFonts w:hint="eastAsia" w:ascii="仿宋_GB2312" w:hAnsi="Times New Roman" w:eastAsia="仿宋_GB2312"/>
          <w:sz w:val="24"/>
          <w:szCs w:val="24"/>
        </w:rPr>
        <w:t>地址：浙江省</w:t>
      </w:r>
      <w:r>
        <w:rPr>
          <w:rFonts w:ascii="仿宋_GB2312" w:hAnsi="Times New Roman" w:eastAsia="仿宋_GB2312"/>
          <w:sz w:val="24"/>
          <w:szCs w:val="24"/>
        </w:rPr>
        <w:t xml:space="preserve"> </w:t>
      </w:r>
      <w:r>
        <w:rPr>
          <w:rFonts w:hint="eastAsia" w:ascii="仿宋_GB2312" w:hAnsi="Times New Roman" w:eastAsia="仿宋_GB2312"/>
          <w:sz w:val="24"/>
          <w:szCs w:val="24"/>
        </w:rPr>
        <w:t>嘉兴市</w:t>
      </w:r>
      <w:r>
        <w:rPr>
          <w:rFonts w:ascii="仿宋_GB2312" w:hAnsi="Times New Roman" w:eastAsia="仿宋_GB2312"/>
          <w:sz w:val="24"/>
          <w:szCs w:val="24"/>
        </w:rPr>
        <w:t xml:space="preserve"> </w:t>
      </w:r>
      <w:r>
        <w:rPr>
          <w:rFonts w:hint="eastAsia" w:ascii="仿宋_GB2312" w:hAnsi="Times New Roman" w:eastAsia="仿宋_GB2312"/>
          <w:sz w:val="24"/>
          <w:szCs w:val="24"/>
        </w:rPr>
        <w:t xml:space="preserve">商务大道 </w:t>
      </w:r>
      <w:r>
        <w:rPr>
          <w:rFonts w:ascii="仿宋_GB2312" w:hAnsi="Times New Roman" w:eastAsia="仿宋_GB2312"/>
          <w:sz w:val="24"/>
          <w:szCs w:val="24"/>
        </w:rPr>
        <w:t>168</w:t>
      </w:r>
      <w:r>
        <w:rPr>
          <w:rFonts w:hint="eastAsia" w:ascii="仿宋_GB2312" w:hAnsi="Times New Roman" w:eastAsia="仿宋_GB2312"/>
          <w:sz w:val="24"/>
          <w:szCs w:val="24"/>
        </w:rPr>
        <w:t>号</w:t>
      </w:r>
    </w:p>
    <w:p>
      <w:pPr>
        <w:spacing w:line="360" w:lineRule="auto"/>
        <w:rPr>
          <w:rFonts w:ascii="仿宋_GB2312" w:hAnsi="Times New Roman" w:eastAsia="仿宋_GB2312"/>
          <w:sz w:val="24"/>
          <w:szCs w:val="24"/>
        </w:rPr>
      </w:pPr>
      <w:r>
        <w:rPr>
          <w:rFonts w:hint="eastAsia" w:ascii="仿宋_GB2312" w:hAnsi="Times New Roman" w:eastAsia="仿宋_GB2312"/>
          <w:sz w:val="24"/>
          <w:szCs w:val="24"/>
        </w:rPr>
        <w:t>邮编：</w:t>
      </w:r>
      <w:r>
        <w:rPr>
          <w:rFonts w:ascii="仿宋_GB2312" w:hAnsi="Times New Roman" w:eastAsia="仿宋_GB2312"/>
          <w:sz w:val="24"/>
          <w:szCs w:val="24"/>
        </w:rPr>
        <w:t>3140</w:t>
      </w:r>
      <w:r>
        <w:rPr>
          <w:rFonts w:hint="eastAsia" w:ascii="仿宋_GB2312" w:hAnsi="Times New Roman" w:eastAsia="仿宋_GB2312"/>
          <w:sz w:val="24"/>
          <w:szCs w:val="24"/>
        </w:rPr>
        <w:t>51</w:t>
      </w:r>
    </w:p>
    <w:p>
      <w:pPr>
        <w:spacing w:line="360" w:lineRule="auto"/>
        <w:rPr>
          <w:rFonts w:ascii="仿宋_GB2312" w:hAnsi="Times New Roman" w:eastAsia="仿宋_GB2312"/>
          <w:sz w:val="24"/>
          <w:szCs w:val="24"/>
        </w:rPr>
      </w:pPr>
      <w:r>
        <w:rPr>
          <w:rFonts w:hint="eastAsia" w:ascii="仿宋_GB2312" w:hAnsi="Times New Roman" w:eastAsia="仿宋_GB2312"/>
          <w:sz w:val="24"/>
          <w:szCs w:val="24"/>
        </w:rPr>
        <w:t>电话：</w:t>
      </w:r>
      <w:r>
        <w:rPr>
          <w:rFonts w:ascii="仿宋_GB2312" w:hAnsi="Times New Roman" w:eastAsia="仿宋_GB2312"/>
          <w:sz w:val="24"/>
          <w:szCs w:val="24"/>
        </w:rPr>
        <w:t>0573-82878</w:t>
      </w:r>
      <w:r>
        <w:rPr>
          <w:rFonts w:hint="eastAsia" w:ascii="仿宋_GB2312" w:hAnsi="Times New Roman" w:eastAsia="仿宋_GB2312"/>
          <w:sz w:val="24"/>
          <w:szCs w:val="24"/>
        </w:rPr>
        <w:t>016</w:t>
      </w:r>
    </w:p>
    <w:p>
      <w:pPr>
        <w:spacing w:line="360" w:lineRule="auto"/>
        <w:rPr>
          <w:rFonts w:ascii="仿宋_GB2312" w:hAnsi="Times New Roman" w:eastAsia="仿宋_GB2312"/>
          <w:sz w:val="24"/>
          <w:szCs w:val="24"/>
        </w:rPr>
      </w:pPr>
      <w:r>
        <w:rPr>
          <w:rFonts w:hint="eastAsia" w:ascii="仿宋_GB2312" w:hAnsi="Times New Roman" w:eastAsia="仿宋_GB2312"/>
          <w:sz w:val="24"/>
          <w:szCs w:val="24"/>
        </w:rPr>
        <w:t>传真：</w:t>
      </w:r>
      <w:r>
        <w:rPr>
          <w:rFonts w:ascii="仿宋_GB2312" w:hAnsi="Times New Roman" w:eastAsia="仿宋_GB2312"/>
          <w:sz w:val="24"/>
          <w:szCs w:val="24"/>
        </w:rPr>
        <w:t>0573-82316672</w:t>
      </w:r>
    </w:p>
    <w:p>
      <w:pPr>
        <w:spacing w:line="360" w:lineRule="auto"/>
        <w:rPr>
          <w:rFonts w:ascii="仿宋_GB2312" w:hAnsi="Times New Roman" w:eastAsia="仿宋_GB2312"/>
          <w:sz w:val="24"/>
          <w:szCs w:val="24"/>
        </w:rPr>
      </w:pPr>
      <w:r>
        <w:rPr>
          <w:rFonts w:ascii="仿宋_GB2312" w:hAnsi="Times New Roman" w:eastAsia="仿宋_GB2312"/>
          <w:sz w:val="24"/>
          <w:szCs w:val="24"/>
        </w:rPr>
        <w:t>E-mail</w:t>
      </w:r>
      <w:r>
        <w:rPr>
          <w:rFonts w:hint="eastAsia" w:ascii="仿宋_GB2312" w:hAnsi="Times New Roman" w:eastAsia="仿宋_GB2312"/>
          <w:sz w:val="24"/>
          <w:szCs w:val="24"/>
        </w:rPr>
        <w:t>：</w:t>
      </w:r>
      <w:r>
        <w:fldChar w:fldCharType="begin"/>
      </w:r>
      <w:r>
        <w:instrText xml:space="preserve"> HYPERLINK "mailto:zjxyzsb@tongji.edu.cn" </w:instrText>
      </w:r>
      <w:r>
        <w:fldChar w:fldCharType="separate"/>
      </w:r>
      <w:r>
        <w:rPr>
          <w:rFonts w:ascii="仿宋_GB2312" w:hAnsi="Times New Roman" w:eastAsia="仿宋_GB2312"/>
          <w:sz w:val="24"/>
          <w:szCs w:val="24"/>
        </w:rPr>
        <w:t>zjxyzsb@tongji.edu.cn</w:t>
      </w:r>
      <w:r>
        <w:rPr>
          <w:rFonts w:ascii="仿宋_GB2312" w:hAnsi="Times New Roman" w:eastAsia="仿宋_GB2312"/>
          <w:sz w:val="24"/>
          <w:szCs w:val="24"/>
        </w:rPr>
        <w:fldChar w:fldCharType="end"/>
      </w:r>
      <w:r>
        <w:rPr>
          <w:rFonts w:ascii="仿宋_GB2312" w:hAnsi="Times New Roman" w:eastAsia="仿宋_GB2312"/>
          <w:sz w:val="24"/>
          <w:szCs w:val="24"/>
        </w:rPr>
        <w:t xml:space="preserve">      </w:t>
      </w:r>
    </w:p>
    <w:p>
      <w:pPr>
        <w:spacing w:line="360" w:lineRule="auto"/>
        <w:rPr>
          <w:rFonts w:ascii="仿宋_GB2312" w:hAnsi="Times New Roman" w:eastAsia="仿宋_GB2312"/>
          <w:sz w:val="24"/>
          <w:szCs w:val="24"/>
        </w:rPr>
      </w:pPr>
      <w:r>
        <w:rPr>
          <w:rFonts w:hint="eastAsia" w:ascii="仿宋_GB2312" w:hAnsi="Times New Roman" w:eastAsia="仿宋_GB2312"/>
          <w:sz w:val="24"/>
          <w:szCs w:val="24"/>
        </w:rPr>
        <w:t>网址：</w:t>
      </w:r>
      <w:r>
        <w:rPr>
          <w:rFonts w:ascii="仿宋_GB2312" w:hAnsi="Times New Roman" w:eastAsia="仿宋_GB2312"/>
          <w:sz w:val="24"/>
          <w:szCs w:val="24"/>
        </w:rPr>
        <w:t>http://www.tjzj.edu.cn</w:t>
      </w:r>
    </w:p>
    <w:p>
      <w:pPr>
        <w:spacing w:line="360" w:lineRule="auto"/>
        <w:rPr>
          <w:rFonts w:ascii="仿宋_GB2312" w:hAnsi="Times New Roman" w:eastAsia="仿宋_GB2312"/>
          <w:sz w:val="24"/>
          <w:szCs w:val="24"/>
        </w:rPr>
      </w:pPr>
    </w:p>
    <w:p>
      <w:pPr>
        <w:adjustRightInd w:val="0"/>
        <w:snapToGrid w:val="0"/>
        <w:spacing w:line="360" w:lineRule="auto"/>
        <w:ind w:firstLine="420"/>
        <w:rPr>
          <w:rFonts w:ascii="仿宋_GB2312" w:hAnsi="楷体" w:eastAsia="仿宋_GB2312" w:cs="宋体"/>
          <w:kern w:val="0"/>
          <w:sz w:val="24"/>
          <w:szCs w:val="24"/>
        </w:rPr>
      </w:pPr>
    </w:p>
    <w:p>
      <w:pPr>
        <w:adjustRightInd w:val="0"/>
        <w:snapToGrid w:val="0"/>
        <w:spacing w:line="360" w:lineRule="auto"/>
        <w:ind w:firstLine="420"/>
        <w:rPr>
          <w:rFonts w:ascii="仿宋_GB2312" w:hAnsi="楷体" w:eastAsia="仿宋_GB2312" w:cs="宋体"/>
          <w:kern w:val="0"/>
          <w:sz w:val="24"/>
          <w:szCs w:val="24"/>
        </w:rPr>
      </w:pPr>
    </w:p>
    <w:p>
      <w:pPr>
        <w:adjustRightInd w:val="0"/>
        <w:snapToGrid w:val="0"/>
        <w:spacing w:line="360" w:lineRule="auto"/>
        <w:ind w:firstLine="420"/>
        <w:rPr>
          <w:rFonts w:ascii="仿宋_GB2312" w:hAnsi="楷体" w:eastAsia="仿宋_GB2312" w:cs="宋体"/>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234911"/>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1172"/>
    <w:rsid w:val="00000D62"/>
    <w:rsid w:val="00017FF3"/>
    <w:rsid w:val="000221C3"/>
    <w:rsid w:val="00023B9A"/>
    <w:rsid w:val="00036B96"/>
    <w:rsid w:val="00037533"/>
    <w:rsid w:val="00056209"/>
    <w:rsid w:val="00062D71"/>
    <w:rsid w:val="00072B20"/>
    <w:rsid w:val="00090E23"/>
    <w:rsid w:val="0009455A"/>
    <w:rsid w:val="000D104E"/>
    <w:rsid w:val="000E7E4A"/>
    <w:rsid w:val="000F1AD0"/>
    <w:rsid w:val="00101D04"/>
    <w:rsid w:val="001064D1"/>
    <w:rsid w:val="00117146"/>
    <w:rsid w:val="001416B2"/>
    <w:rsid w:val="00157037"/>
    <w:rsid w:val="001B564A"/>
    <w:rsid w:val="001C1F54"/>
    <w:rsid w:val="001C63F4"/>
    <w:rsid w:val="001D0962"/>
    <w:rsid w:val="001D1FF2"/>
    <w:rsid w:val="001F01A3"/>
    <w:rsid w:val="001F3494"/>
    <w:rsid w:val="002123DF"/>
    <w:rsid w:val="00227E3C"/>
    <w:rsid w:val="002474DF"/>
    <w:rsid w:val="00250279"/>
    <w:rsid w:val="002C23DE"/>
    <w:rsid w:val="002C28BD"/>
    <w:rsid w:val="002C5E31"/>
    <w:rsid w:val="002D5534"/>
    <w:rsid w:val="002D6C3E"/>
    <w:rsid w:val="002D7A86"/>
    <w:rsid w:val="002D7F15"/>
    <w:rsid w:val="002E0AC7"/>
    <w:rsid w:val="003102A6"/>
    <w:rsid w:val="003357B2"/>
    <w:rsid w:val="00354AE3"/>
    <w:rsid w:val="0036040C"/>
    <w:rsid w:val="0036273D"/>
    <w:rsid w:val="00381D89"/>
    <w:rsid w:val="0038256F"/>
    <w:rsid w:val="00383699"/>
    <w:rsid w:val="00393C36"/>
    <w:rsid w:val="003A57F0"/>
    <w:rsid w:val="003B5699"/>
    <w:rsid w:val="003B7501"/>
    <w:rsid w:val="003C5AEC"/>
    <w:rsid w:val="003C5D29"/>
    <w:rsid w:val="003D1682"/>
    <w:rsid w:val="003F1E1E"/>
    <w:rsid w:val="003F428D"/>
    <w:rsid w:val="00401A7C"/>
    <w:rsid w:val="00403D76"/>
    <w:rsid w:val="004047D5"/>
    <w:rsid w:val="00432DF0"/>
    <w:rsid w:val="0044070B"/>
    <w:rsid w:val="00444FF4"/>
    <w:rsid w:val="00445D86"/>
    <w:rsid w:val="0044795F"/>
    <w:rsid w:val="00453D55"/>
    <w:rsid w:val="004643E4"/>
    <w:rsid w:val="0047482D"/>
    <w:rsid w:val="00480528"/>
    <w:rsid w:val="004862FE"/>
    <w:rsid w:val="004A1A52"/>
    <w:rsid w:val="004A6635"/>
    <w:rsid w:val="004B47AA"/>
    <w:rsid w:val="004D53EB"/>
    <w:rsid w:val="004D6BFD"/>
    <w:rsid w:val="0050222F"/>
    <w:rsid w:val="0050780C"/>
    <w:rsid w:val="00511964"/>
    <w:rsid w:val="005237E3"/>
    <w:rsid w:val="005239F9"/>
    <w:rsid w:val="00523A1F"/>
    <w:rsid w:val="005268C4"/>
    <w:rsid w:val="005275CD"/>
    <w:rsid w:val="00536016"/>
    <w:rsid w:val="005500C6"/>
    <w:rsid w:val="0056624C"/>
    <w:rsid w:val="005A2599"/>
    <w:rsid w:val="005A7C13"/>
    <w:rsid w:val="005B6C80"/>
    <w:rsid w:val="005C006A"/>
    <w:rsid w:val="005D08AE"/>
    <w:rsid w:val="005D2A51"/>
    <w:rsid w:val="006002B6"/>
    <w:rsid w:val="00616CC8"/>
    <w:rsid w:val="0064387E"/>
    <w:rsid w:val="00654E32"/>
    <w:rsid w:val="00656739"/>
    <w:rsid w:val="00662C41"/>
    <w:rsid w:val="006729BA"/>
    <w:rsid w:val="006740F8"/>
    <w:rsid w:val="006857FB"/>
    <w:rsid w:val="006A4F8E"/>
    <w:rsid w:val="006C21EF"/>
    <w:rsid w:val="006D178D"/>
    <w:rsid w:val="0071116F"/>
    <w:rsid w:val="00732F5A"/>
    <w:rsid w:val="0073364A"/>
    <w:rsid w:val="00743EF3"/>
    <w:rsid w:val="007C2AC2"/>
    <w:rsid w:val="007C7CAB"/>
    <w:rsid w:val="007D2C54"/>
    <w:rsid w:val="007E10E2"/>
    <w:rsid w:val="007E5DAF"/>
    <w:rsid w:val="007E5E1A"/>
    <w:rsid w:val="00803B6B"/>
    <w:rsid w:val="008048DC"/>
    <w:rsid w:val="008305BB"/>
    <w:rsid w:val="0083326D"/>
    <w:rsid w:val="008342C6"/>
    <w:rsid w:val="00854A4B"/>
    <w:rsid w:val="00872F4E"/>
    <w:rsid w:val="00877C74"/>
    <w:rsid w:val="00880D46"/>
    <w:rsid w:val="00885282"/>
    <w:rsid w:val="00885A08"/>
    <w:rsid w:val="008C082D"/>
    <w:rsid w:val="008C498F"/>
    <w:rsid w:val="008E0B44"/>
    <w:rsid w:val="008E1281"/>
    <w:rsid w:val="008E4EE0"/>
    <w:rsid w:val="008E5799"/>
    <w:rsid w:val="008E63EA"/>
    <w:rsid w:val="008F16AB"/>
    <w:rsid w:val="008F1977"/>
    <w:rsid w:val="00904EFA"/>
    <w:rsid w:val="00911FDA"/>
    <w:rsid w:val="009471CA"/>
    <w:rsid w:val="0095115C"/>
    <w:rsid w:val="00960484"/>
    <w:rsid w:val="0097345A"/>
    <w:rsid w:val="00975A8F"/>
    <w:rsid w:val="00980D7A"/>
    <w:rsid w:val="009A153A"/>
    <w:rsid w:val="009D1EC5"/>
    <w:rsid w:val="00A43994"/>
    <w:rsid w:val="00A46557"/>
    <w:rsid w:val="00A46BE2"/>
    <w:rsid w:val="00A521D0"/>
    <w:rsid w:val="00A533AE"/>
    <w:rsid w:val="00A85EC0"/>
    <w:rsid w:val="00A86C65"/>
    <w:rsid w:val="00AB3A17"/>
    <w:rsid w:val="00AD446D"/>
    <w:rsid w:val="00AD5662"/>
    <w:rsid w:val="00AE0971"/>
    <w:rsid w:val="00B03A88"/>
    <w:rsid w:val="00B12A82"/>
    <w:rsid w:val="00B3465B"/>
    <w:rsid w:val="00B45F5C"/>
    <w:rsid w:val="00B52F5B"/>
    <w:rsid w:val="00B5306C"/>
    <w:rsid w:val="00B631EE"/>
    <w:rsid w:val="00B71E80"/>
    <w:rsid w:val="00B81097"/>
    <w:rsid w:val="00BA3653"/>
    <w:rsid w:val="00BB3142"/>
    <w:rsid w:val="00BB3684"/>
    <w:rsid w:val="00BE2D55"/>
    <w:rsid w:val="00C30BBB"/>
    <w:rsid w:val="00C3482F"/>
    <w:rsid w:val="00C357E4"/>
    <w:rsid w:val="00C40CB9"/>
    <w:rsid w:val="00C51F29"/>
    <w:rsid w:val="00C527FF"/>
    <w:rsid w:val="00C53E3B"/>
    <w:rsid w:val="00C60410"/>
    <w:rsid w:val="00C6348B"/>
    <w:rsid w:val="00C715DB"/>
    <w:rsid w:val="00C84B71"/>
    <w:rsid w:val="00C908D9"/>
    <w:rsid w:val="00C94603"/>
    <w:rsid w:val="00C97853"/>
    <w:rsid w:val="00CB26FF"/>
    <w:rsid w:val="00CB4D44"/>
    <w:rsid w:val="00CB7925"/>
    <w:rsid w:val="00CC2D27"/>
    <w:rsid w:val="00CD002C"/>
    <w:rsid w:val="00CD1EF3"/>
    <w:rsid w:val="00CD7281"/>
    <w:rsid w:val="00CE00FB"/>
    <w:rsid w:val="00CE035B"/>
    <w:rsid w:val="00CE6CBA"/>
    <w:rsid w:val="00CF53EA"/>
    <w:rsid w:val="00D0401B"/>
    <w:rsid w:val="00D21D9A"/>
    <w:rsid w:val="00D23AB2"/>
    <w:rsid w:val="00D442EC"/>
    <w:rsid w:val="00D46BFA"/>
    <w:rsid w:val="00D6188F"/>
    <w:rsid w:val="00D93B64"/>
    <w:rsid w:val="00DA1172"/>
    <w:rsid w:val="00DA50F1"/>
    <w:rsid w:val="00DA61EE"/>
    <w:rsid w:val="00DC2390"/>
    <w:rsid w:val="00DC4B9A"/>
    <w:rsid w:val="00DD31A0"/>
    <w:rsid w:val="00DD6516"/>
    <w:rsid w:val="00DE6F75"/>
    <w:rsid w:val="00DF5586"/>
    <w:rsid w:val="00DF6C04"/>
    <w:rsid w:val="00E0004A"/>
    <w:rsid w:val="00E019BC"/>
    <w:rsid w:val="00E143CC"/>
    <w:rsid w:val="00E30CEF"/>
    <w:rsid w:val="00E354DE"/>
    <w:rsid w:val="00E47838"/>
    <w:rsid w:val="00E605BB"/>
    <w:rsid w:val="00E65B3B"/>
    <w:rsid w:val="00E85639"/>
    <w:rsid w:val="00EA7D23"/>
    <w:rsid w:val="00EB7E72"/>
    <w:rsid w:val="00ED4DA2"/>
    <w:rsid w:val="00EF0948"/>
    <w:rsid w:val="00EF3AAC"/>
    <w:rsid w:val="00EF4831"/>
    <w:rsid w:val="00EF5470"/>
    <w:rsid w:val="00F10008"/>
    <w:rsid w:val="00F312E4"/>
    <w:rsid w:val="00F4327B"/>
    <w:rsid w:val="00F7679D"/>
    <w:rsid w:val="00F774AF"/>
    <w:rsid w:val="00F95F56"/>
    <w:rsid w:val="00FB4432"/>
    <w:rsid w:val="00FD3EC2"/>
    <w:rsid w:val="00FD4A84"/>
    <w:rsid w:val="00FD5660"/>
    <w:rsid w:val="00FE2FC0"/>
    <w:rsid w:val="00FE3C32"/>
    <w:rsid w:val="024D56F1"/>
    <w:rsid w:val="0A6D3BCE"/>
    <w:rsid w:val="0C5559A8"/>
    <w:rsid w:val="0DFD446D"/>
    <w:rsid w:val="10D12BCF"/>
    <w:rsid w:val="12B1289F"/>
    <w:rsid w:val="14896AFA"/>
    <w:rsid w:val="17FC6FFD"/>
    <w:rsid w:val="1C1B2B2F"/>
    <w:rsid w:val="1E034035"/>
    <w:rsid w:val="21B30FE2"/>
    <w:rsid w:val="22C74755"/>
    <w:rsid w:val="24491B5F"/>
    <w:rsid w:val="25C34F44"/>
    <w:rsid w:val="270F01A5"/>
    <w:rsid w:val="27222111"/>
    <w:rsid w:val="272458EC"/>
    <w:rsid w:val="274B05FE"/>
    <w:rsid w:val="279829FC"/>
    <w:rsid w:val="28592F13"/>
    <w:rsid w:val="28E15A74"/>
    <w:rsid w:val="2A9A67B9"/>
    <w:rsid w:val="2B766848"/>
    <w:rsid w:val="2C71605C"/>
    <w:rsid w:val="30FD63ED"/>
    <w:rsid w:val="331F02BB"/>
    <w:rsid w:val="38B31E9C"/>
    <w:rsid w:val="38F4385E"/>
    <w:rsid w:val="3A79380C"/>
    <w:rsid w:val="3AF0396A"/>
    <w:rsid w:val="3B260B1A"/>
    <w:rsid w:val="3F3365DF"/>
    <w:rsid w:val="436D6701"/>
    <w:rsid w:val="44A23C16"/>
    <w:rsid w:val="478573E9"/>
    <w:rsid w:val="482E1E5A"/>
    <w:rsid w:val="48B776AA"/>
    <w:rsid w:val="4A0F1B87"/>
    <w:rsid w:val="4A8A6989"/>
    <w:rsid w:val="4BDA01A8"/>
    <w:rsid w:val="4C685AE6"/>
    <w:rsid w:val="52C12A07"/>
    <w:rsid w:val="56781620"/>
    <w:rsid w:val="5A6D6A3D"/>
    <w:rsid w:val="5A801BAE"/>
    <w:rsid w:val="60770E35"/>
    <w:rsid w:val="60D47E9C"/>
    <w:rsid w:val="616343AA"/>
    <w:rsid w:val="61AA0E38"/>
    <w:rsid w:val="6A692EE7"/>
    <w:rsid w:val="6C8B1A54"/>
    <w:rsid w:val="6E5D20D3"/>
    <w:rsid w:val="6F0A3FFC"/>
    <w:rsid w:val="6F9F0C35"/>
    <w:rsid w:val="6FB439E6"/>
    <w:rsid w:val="739C2CBD"/>
    <w:rsid w:val="75996ADF"/>
    <w:rsid w:val="768C55D5"/>
    <w:rsid w:val="7BCB7664"/>
    <w:rsid w:val="7C694787"/>
    <w:rsid w:val="7C6B0C87"/>
    <w:rsid w:val="7D5D253D"/>
    <w:rsid w:val="7E1370A0"/>
    <w:rsid w:val="7F24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uiPriority w:val="99"/>
    <w:rPr>
      <w:sz w:val="18"/>
      <w:szCs w:val="18"/>
    </w:rPr>
  </w:style>
  <w:style w:type="character" w:customStyle="1" w:styleId="11">
    <w:name w:val="页脚 Char"/>
    <w:basedOn w:val="8"/>
    <w:link w:val="3"/>
    <w:uiPriority w:val="99"/>
    <w:rPr>
      <w:sz w:val="18"/>
      <w:szCs w:val="18"/>
    </w:rPr>
  </w:style>
  <w:style w:type="character" w:customStyle="1" w:styleId="12">
    <w:name w:val="批注框文本 Char"/>
    <w:basedOn w:val="8"/>
    <w:link w:val="2"/>
    <w:semiHidden/>
    <w:qFormat/>
    <w:uiPriority w:val="99"/>
    <w:rPr>
      <w:kern w:val="2"/>
      <w:sz w:val="18"/>
      <w:szCs w:val="18"/>
    </w:rPr>
  </w:style>
  <w:style w:type="paragraph" w:customStyle="1" w:styleId="13">
    <w:name w:val="p0"/>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452</Words>
  <Characters>2582</Characters>
  <Lines>21</Lines>
  <Paragraphs>6</Paragraphs>
  <TotalTime>71</TotalTime>
  <ScaleCrop>false</ScaleCrop>
  <LinksUpToDate>false</LinksUpToDate>
  <CharactersWithSpaces>3028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2021-12-01T02:03:00Z</dcterms:created>
  <dc:creator>dreamsummit</dc:creator>
  <cp:lastModifiedBy>zsb</cp:lastModifiedBy>
  <cp:lastPrinted>2022-01-13T02:32:00Z</cp:lastPrinted>
  <dcterms:modified xsi:type="dcterms:W3CDTF">2022-01-29T02:10:20Z</dcterms:modified>
  <cp:revision>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85213DCA91B840F2A29AD90A49334F93</vt:lpwstr>
  </property>
</Properties>
</file>