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宁波卫生职业技术学院</w:t>
      </w:r>
      <w:r>
        <w:rPr>
          <w:b/>
          <w:sz w:val="36"/>
          <w:szCs w:val="36"/>
        </w:rPr>
        <w:t>201</w:t>
      </w:r>
      <w:r>
        <w:rPr>
          <w:rFonts w:hint="eastAsia"/>
          <w:b/>
          <w:sz w:val="36"/>
          <w:szCs w:val="36"/>
          <w:lang w:val="en-US" w:eastAsia="zh-CN"/>
        </w:rPr>
        <w:t>9</w:t>
      </w:r>
      <w:r>
        <w:rPr>
          <w:rFonts w:hint="eastAsia"/>
          <w:b/>
          <w:sz w:val="36"/>
          <w:szCs w:val="36"/>
        </w:rPr>
        <w:t>年成人高考招生章程</w:t>
      </w:r>
    </w:p>
    <w:p>
      <w:pPr>
        <w:rPr>
          <w:rFonts w:ascii="仿宋" w:hAnsi="仿宋" w:eastAsia="仿宋" w:cs="仿宋"/>
          <w:b/>
          <w:sz w:val="28"/>
          <w:szCs w:val="28"/>
        </w:rPr>
      </w:pPr>
    </w:p>
    <w:p>
      <w:pPr>
        <w:numPr>
          <w:ilvl w:val="0"/>
          <w:numId w:val="1"/>
        </w:numPr>
        <w:rPr>
          <w:rFonts w:ascii="仿宋" w:hAnsi="仿宋" w:eastAsia="仿宋" w:cs="仿宋"/>
          <w:sz w:val="28"/>
          <w:szCs w:val="28"/>
        </w:rPr>
      </w:pPr>
      <w:r>
        <w:rPr>
          <w:rFonts w:hint="eastAsia" w:ascii="仿宋" w:hAnsi="仿宋" w:eastAsia="仿宋" w:cs="仿宋"/>
          <w:bCs/>
          <w:sz w:val="28"/>
          <w:szCs w:val="28"/>
        </w:rPr>
        <w:t>高校全称:</w:t>
      </w:r>
      <w:r>
        <w:rPr>
          <w:rFonts w:hint="eastAsia" w:ascii="仿宋" w:hAnsi="仿宋" w:eastAsia="仿宋" w:cs="仿宋"/>
          <w:sz w:val="28"/>
          <w:szCs w:val="28"/>
        </w:rPr>
        <w:t>宁波卫生职业技术学院</w:t>
      </w:r>
    </w:p>
    <w:p>
      <w:pPr>
        <w:numPr>
          <w:ilvl w:val="0"/>
          <w:numId w:val="1"/>
        </w:numPr>
        <w:rPr>
          <w:rFonts w:ascii="仿宋" w:hAnsi="仿宋" w:eastAsia="仿宋" w:cs="仿宋"/>
          <w:sz w:val="28"/>
          <w:szCs w:val="28"/>
        </w:rPr>
      </w:pPr>
      <w:r>
        <w:rPr>
          <w:rFonts w:hint="eastAsia" w:ascii="仿宋" w:hAnsi="仿宋" w:eastAsia="仿宋" w:cs="仿宋"/>
          <w:sz w:val="28"/>
          <w:szCs w:val="28"/>
        </w:rPr>
        <w:t>院校省代码：742</w:t>
      </w:r>
    </w:p>
    <w:p>
      <w:pPr>
        <w:numPr>
          <w:ilvl w:val="0"/>
          <w:numId w:val="1"/>
        </w:numPr>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办学层次：</w:t>
      </w:r>
      <w:r>
        <w:rPr>
          <w:rFonts w:hint="eastAsia" w:ascii="仿宋" w:hAnsi="仿宋" w:eastAsia="仿宋" w:cs="仿宋"/>
          <w:bCs/>
          <w:color w:val="000000" w:themeColor="text1"/>
          <w:sz w:val="28"/>
          <w:szCs w:val="28"/>
          <w:highlight w:val="none"/>
          <w:lang w:eastAsia="zh-CN"/>
          <w14:textFill>
            <w14:solidFill>
              <w14:schemeClr w14:val="tx1"/>
            </w14:solidFill>
          </w14:textFill>
        </w:rPr>
        <w:t>高起专</w:t>
      </w:r>
    </w:p>
    <w:p>
      <w:pPr>
        <w:numPr>
          <w:ilvl w:val="0"/>
          <w:numId w:val="1"/>
        </w:numPr>
        <w:rPr>
          <w:rFonts w:ascii="仿宋" w:hAnsi="仿宋" w:eastAsia="仿宋" w:cs="仿宋"/>
          <w:bCs/>
          <w:sz w:val="28"/>
          <w:szCs w:val="28"/>
        </w:rPr>
      </w:pPr>
      <w:r>
        <w:rPr>
          <w:rFonts w:hint="eastAsia" w:ascii="仿宋" w:hAnsi="仿宋" w:eastAsia="仿宋" w:cs="仿宋"/>
          <w:bCs/>
          <w:sz w:val="28"/>
          <w:szCs w:val="28"/>
        </w:rPr>
        <w:t>学习形式、学制：</w:t>
      </w:r>
    </w:p>
    <w:p>
      <w:pPr>
        <w:ind w:firstLine="280" w:firstLineChars="100"/>
        <w:rPr>
          <w:rFonts w:ascii="仿宋" w:hAnsi="仿宋" w:eastAsia="仿宋" w:cs="仿宋"/>
          <w:bCs/>
          <w:sz w:val="28"/>
          <w:szCs w:val="28"/>
        </w:rPr>
      </w:pPr>
      <w:r>
        <w:rPr>
          <w:rFonts w:hint="eastAsia" w:ascii="仿宋" w:hAnsi="仿宋" w:eastAsia="仿宋" w:cs="仿宋"/>
          <w:bCs/>
          <w:sz w:val="28"/>
          <w:szCs w:val="28"/>
        </w:rPr>
        <w:t>（1）学习形式：业余、函授</w:t>
      </w:r>
    </w:p>
    <w:p>
      <w:pPr>
        <w:ind w:firstLine="280" w:firstLineChars="100"/>
        <w:rPr>
          <w:rFonts w:ascii="仿宋" w:hAnsi="仿宋" w:eastAsia="仿宋" w:cs="仿宋"/>
          <w:bCs/>
          <w:sz w:val="28"/>
          <w:szCs w:val="28"/>
        </w:rPr>
      </w:pPr>
      <w:r>
        <w:rPr>
          <w:rFonts w:hint="eastAsia" w:ascii="仿宋" w:hAnsi="仿宋" w:eastAsia="仿宋" w:cs="仿宋"/>
          <w:bCs/>
          <w:sz w:val="28"/>
          <w:szCs w:val="28"/>
        </w:rPr>
        <w:t xml:space="preserve">（2）学制：2.5年 </w:t>
      </w:r>
    </w:p>
    <w:p>
      <w:pPr>
        <w:numPr>
          <w:ilvl w:val="0"/>
          <w:numId w:val="1"/>
        </w:numPr>
        <w:rPr>
          <w:rFonts w:hint="eastAsia" w:ascii="仿宋" w:hAnsi="仿宋" w:eastAsia="仿宋" w:cs="仿宋"/>
          <w:bCs/>
          <w:sz w:val="28"/>
          <w:szCs w:val="28"/>
        </w:rPr>
      </w:pPr>
      <w:r>
        <w:rPr>
          <w:rFonts w:hint="eastAsia" w:ascii="仿宋" w:hAnsi="仿宋" w:eastAsia="仿宋" w:cs="仿宋"/>
          <w:bCs/>
          <w:sz w:val="28"/>
          <w:szCs w:val="28"/>
        </w:rPr>
        <w:t>招生范围：浙江省内</w:t>
      </w:r>
    </w:p>
    <w:p>
      <w:pPr>
        <w:numPr>
          <w:ilvl w:val="0"/>
          <w:numId w:val="1"/>
        </w:numPr>
        <w:rPr>
          <w:rFonts w:ascii="仿宋" w:hAnsi="仿宋" w:eastAsia="仿宋" w:cs="仿宋"/>
          <w:bCs/>
          <w:sz w:val="28"/>
          <w:szCs w:val="28"/>
        </w:rPr>
      </w:pPr>
      <w:r>
        <w:rPr>
          <w:rFonts w:hint="eastAsia" w:ascii="仿宋" w:hAnsi="仿宋" w:eastAsia="仿宋" w:cs="仿宋"/>
          <w:bCs/>
          <w:sz w:val="28"/>
          <w:szCs w:val="28"/>
        </w:rPr>
        <w:t>招生计划：以浙江省教育厅实际下达计划数为准</w:t>
      </w:r>
    </w:p>
    <w:p>
      <w:pPr>
        <w:numPr>
          <w:ilvl w:val="0"/>
          <w:numId w:val="1"/>
        </w:numPr>
        <w:rPr>
          <w:rFonts w:ascii="仿宋" w:hAnsi="仿宋" w:eastAsia="仿宋" w:cs="仿宋"/>
          <w:bCs/>
          <w:sz w:val="28"/>
          <w:szCs w:val="28"/>
        </w:rPr>
      </w:pPr>
      <w:r>
        <w:rPr>
          <w:rFonts w:hint="eastAsia" w:ascii="仿宋" w:hAnsi="仿宋" w:eastAsia="仿宋" w:cs="仿宋"/>
          <w:bCs/>
          <w:sz w:val="28"/>
          <w:szCs w:val="28"/>
        </w:rPr>
        <w:t>学费标准：</w:t>
      </w:r>
    </w:p>
    <w:p>
      <w:pPr>
        <w:ind w:firstLine="560" w:firstLineChars="200"/>
        <w:rPr>
          <w:rFonts w:ascii="仿宋" w:hAnsi="仿宋" w:eastAsia="仿宋" w:cs="仿宋"/>
          <w:bCs/>
          <w:sz w:val="28"/>
          <w:szCs w:val="28"/>
        </w:rPr>
      </w:pPr>
      <w:r>
        <w:rPr>
          <w:rFonts w:hint="eastAsia" w:ascii="仿宋" w:hAnsi="仿宋" w:eastAsia="仿宋" w:cs="仿宋"/>
          <w:bCs/>
          <w:sz w:val="28"/>
          <w:szCs w:val="28"/>
        </w:rPr>
        <w:t>按照《浙江省物价局 浙江省财政厅 浙江省教育厅关于调整成人高等教育收费标准的通知》（浙价费[2014]245号）文件规定收取学费。</w:t>
      </w:r>
    </w:p>
    <w:p>
      <w:pPr>
        <w:rPr>
          <w:rFonts w:ascii="仿宋" w:hAnsi="仿宋" w:eastAsia="仿宋" w:cs="仿宋"/>
          <w:bCs/>
          <w:sz w:val="28"/>
          <w:szCs w:val="28"/>
        </w:rPr>
      </w:pPr>
      <w:r>
        <w:rPr>
          <w:rFonts w:hint="eastAsia" w:ascii="仿宋" w:hAnsi="仿宋" w:eastAsia="仿宋" w:cs="仿宋"/>
          <w:bCs/>
          <w:sz w:val="28"/>
          <w:szCs w:val="28"/>
        </w:rPr>
        <w:t>8.报考条件：</w:t>
      </w:r>
    </w:p>
    <w:p>
      <w:pPr>
        <w:ind w:firstLine="280" w:firstLineChars="100"/>
        <w:rPr>
          <w:rFonts w:ascii="仿宋" w:hAnsi="仿宋" w:eastAsia="仿宋" w:cs="仿宋"/>
          <w:bCs/>
          <w:sz w:val="28"/>
          <w:szCs w:val="28"/>
        </w:rPr>
      </w:pPr>
      <w:r>
        <w:rPr>
          <w:rFonts w:hint="eastAsia" w:ascii="仿宋" w:hAnsi="仿宋" w:eastAsia="仿宋" w:cs="仿宋"/>
          <w:bCs/>
          <w:sz w:val="28"/>
          <w:szCs w:val="28"/>
        </w:rPr>
        <w:t>（1）遵守中华人民共和国宪法和法律；国家承认学历的各类高、中等学校在校生以外的从业人员和社会其他人员；身体健康，生活能自理，不影响所报专业学习；报考高中起点升专科各专业的考生应具有高中（含中专、职高、技校）毕业文化程度或同等学力。</w:t>
      </w:r>
    </w:p>
    <w:p>
      <w:pPr>
        <w:ind w:firstLine="280" w:firstLineChars="100"/>
        <w:rPr>
          <w:rFonts w:ascii="仿宋" w:hAnsi="仿宋" w:eastAsia="仿宋" w:cs="仿宋"/>
          <w:bCs/>
          <w:sz w:val="28"/>
          <w:szCs w:val="28"/>
        </w:rPr>
      </w:pPr>
      <w:r>
        <w:rPr>
          <w:rFonts w:hint="eastAsia" w:ascii="仿宋" w:hAnsi="仿宋" w:eastAsia="仿宋" w:cs="仿宋"/>
          <w:bCs/>
          <w:sz w:val="28"/>
          <w:szCs w:val="28"/>
        </w:rPr>
        <w:t>（2）报考医学门类专业的考生还应具备以下条件：报考护理专业的考生应当取得省级卫生行政部门颁发的执业护士证书；报考医学门类其他专业的考生应当是从事卫生、医药行业工作的在职技术人员；考生报考的专业原则上应与所从事的专业对口。</w:t>
      </w:r>
    </w:p>
    <w:p>
      <w:pPr>
        <w:rPr>
          <w:rFonts w:ascii="仿宋" w:hAnsi="仿宋" w:eastAsia="仿宋" w:cs="仿宋"/>
          <w:bCs/>
          <w:sz w:val="28"/>
          <w:szCs w:val="28"/>
        </w:rPr>
      </w:pPr>
      <w:r>
        <w:rPr>
          <w:rFonts w:hint="eastAsia" w:ascii="仿宋" w:hAnsi="仿宋" w:eastAsia="仿宋" w:cs="仿宋"/>
          <w:bCs/>
          <w:sz w:val="28"/>
          <w:szCs w:val="28"/>
        </w:rPr>
        <w:t>9.录取原则：</w:t>
      </w:r>
    </w:p>
    <w:p>
      <w:pPr>
        <w:pStyle w:val="4"/>
        <w:spacing w:before="0" w:beforeAutospacing="0" w:after="0" w:afterAutospacing="0"/>
        <w:ind w:firstLine="280" w:firstLineChars="100"/>
        <w:jc w:val="both"/>
        <w:rPr>
          <w:rFonts w:ascii="仿宋" w:hAnsi="仿宋" w:eastAsia="仿宋"/>
          <w:sz w:val="28"/>
          <w:szCs w:val="28"/>
        </w:rPr>
      </w:pPr>
      <w:r>
        <w:rPr>
          <w:rFonts w:hint="eastAsia" w:ascii="仿宋" w:hAnsi="仿宋" w:eastAsia="仿宋"/>
          <w:sz w:val="28"/>
          <w:szCs w:val="28"/>
        </w:rPr>
        <w:t>（1）</w:t>
      </w:r>
      <w:bookmarkStart w:id="0" w:name="_GoBack"/>
      <w:r>
        <w:rPr>
          <w:rFonts w:hint="eastAsia" w:ascii="仿宋" w:hAnsi="仿宋" w:eastAsia="仿宋"/>
          <w:sz w:val="28"/>
          <w:szCs w:val="28"/>
        </w:rPr>
        <w:t>我校成人高等教育录取工作严格遵守教育部和浙江省教育考试院的相关政策和规定，积极组织实施高校招生“阳光工</w:t>
      </w:r>
      <w:bookmarkEnd w:id="0"/>
      <w:r>
        <w:rPr>
          <w:rFonts w:hint="eastAsia" w:ascii="仿宋" w:hAnsi="仿宋" w:eastAsia="仿宋"/>
          <w:sz w:val="28"/>
          <w:szCs w:val="28"/>
        </w:rPr>
        <w:t>程”，贯彻“公平竞争、公正选拔、公开透明”的原则，并依照浙江省教育考试院所确定的最低录取控制分数线，按考生志愿和招生计划，分专业从高分到低分择优录取。</w:t>
      </w:r>
    </w:p>
    <w:p>
      <w:pPr>
        <w:pStyle w:val="4"/>
        <w:spacing w:before="0" w:beforeAutospacing="0" w:after="0" w:afterAutospacing="0"/>
        <w:ind w:firstLine="280" w:firstLineChars="100"/>
        <w:jc w:val="both"/>
        <w:rPr>
          <w:rFonts w:ascii="仿宋" w:hAnsi="仿宋" w:eastAsia="仿宋"/>
          <w:sz w:val="28"/>
          <w:szCs w:val="28"/>
        </w:rPr>
      </w:pPr>
      <w:r>
        <w:rPr>
          <w:rFonts w:hint="eastAsia" w:ascii="仿宋" w:hAnsi="仿宋" w:eastAsia="仿宋"/>
          <w:sz w:val="28"/>
          <w:szCs w:val="28"/>
        </w:rPr>
        <w:t>（2）在招生计划许可的情况下，各专业招生人数可视成人高考上分数线人数和学校办学资源而定，且专业之间可适当调剂。</w:t>
      </w:r>
    </w:p>
    <w:p>
      <w:pPr>
        <w:pStyle w:val="4"/>
        <w:spacing w:before="0" w:beforeAutospacing="0" w:after="0" w:afterAutospacing="0"/>
        <w:ind w:firstLine="280" w:firstLineChars="100"/>
        <w:jc w:val="both"/>
        <w:rPr>
          <w:rFonts w:ascii="仿宋" w:hAnsi="仿宋" w:eastAsia="仿宋"/>
          <w:sz w:val="28"/>
          <w:szCs w:val="28"/>
        </w:rPr>
      </w:pPr>
      <w:r>
        <w:rPr>
          <w:rFonts w:hint="eastAsia" w:ascii="仿宋" w:hAnsi="仿宋" w:eastAsia="仿宋"/>
          <w:sz w:val="28"/>
          <w:szCs w:val="28"/>
        </w:rPr>
        <w:t>（3）新生入学后，我校将对已报到新生进行全面复查，对其中不符合条件或弄虚作假、违纪舞弊者，将取消其入学资格。</w:t>
      </w:r>
    </w:p>
    <w:p>
      <w:pPr>
        <w:rPr>
          <w:rFonts w:ascii="仿宋" w:hAnsi="仿宋" w:eastAsia="仿宋" w:cs="仿宋"/>
          <w:bCs/>
          <w:sz w:val="28"/>
          <w:szCs w:val="28"/>
        </w:rPr>
      </w:pPr>
      <w:r>
        <w:rPr>
          <w:rFonts w:hint="eastAsia" w:ascii="仿宋" w:hAnsi="仿宋" w:eastAsia="仿宋" w:cs="仿宋"/>
          <w:bCs/>
          <w:sz w:val="28"/>
          <w:szCs w:val="28"/>
        </w:rPr>
        <w:t>10.颁发学历证书的学校名称及证书种类：</w:t>
      </w:r>
    </w:p>
    <w:p>
      <w:pPr>
        <w:ind w:firstLine="300" w:firstLineChars="100"/>
        <w:rPr>
          <w:rFonts w:ascii="仿宋" w:hAnsi="仿宋" w:eastAsia="仿宋"/>
          <w:color w:val="000000"/>
          <w:sz w:val="30"/>
          <w:szCs w:val="28"/>
        </w:rPr>
      </w:pPr>
      <w:r>
        <w:rPr>
          <w:rFonts w:hint="eastAsia" w:ascii="仿宋" w:hAnsi="仿宋" w:eastAsia="仿宋"/>
          <w:color w:val="000000"/>
          <w:sz w:val="30"/>
        </w:rPr>
        <w:t>宁波卫生职业技术学院，成人高等教育，专科层次</w:t>
      </w:r>
    </w:p>
    <w:p>
      <w:pPr>
        <w:rPr>
          <w:rFonts w:ascii="仿宋" w:hAnsi="仿宋" w:eastAsia="仿宋" w:cs="仿宋"/>
          <w:bCs/>
          <w:sz w:val="28"/>
          <w:szCs w:val="28"/>
        </w:rPr>
      </w:pPr>
      <w:r>
        <w:rPr>
          <w:rFonts w:hint="eastAsia" w:ascii="仿宋" w:hAnsi="仿宋" w:eastAsia="仿宋" w:cs="仿宋"/>
          <w:bCs/>
          <w:sz w:val="28"/>
          <w:szCs w:val="28"/>
        </w:rPr>
        <w:t>11.联系方式：</w:t>
      </w:r>
    </w:p>
    <w:p>
      <w:pPr>
        <w:pStyle w:val="4"/>
        <w:spacing w:before="0" w:beforeAutospacing="0" w:after="0" w:afterAutospacing="0"/>
        <w:ind w:firstLine="280" w:firstLineChars="100"/>
        <w:jc w:val="both"/>
        <w:rPr>
          <w:rFonts w:ascii="仿宋" w:hAnsi="仿宋" w:eastAsia="仿宋"/>
          <w:sz w:val="28"/>
          <w:szCs w:val="28"/>
        </w:rPr>
      </w:pPr>
      <w:r>
        <w:rPr>
          <w:rFonts w:hint="eastAsia" w:ascii="仿宋" w:hAnsi="仿宋" w:eastAsia="仿宋"/>
          <w:sz w:val="28"/>
          <w:szCs w:val="28"/>
        </w:rPr>
        <w:t>（1）地址：宁波市海曙区西北街30号</w:t>
      </w:r>
    </w:p>
    <w:p>
      <w:pPr>
        <w:pStyle w:val="4"/>
        <w:spacing w:before="0" w:beforeAutospacing="0" w:after="0" w:afterAutospacing="0"/>
        <w:ind w:firstLine="280" w:firstLineChars="100"/>
        <w:jc w:val="both"/>
        <w:rPr>
          <w:rFonts w:ascii="仿宋" w:hAnsi="仿宋" w:eastAsia="仿宋"/>
          <w:sz w:val="28"/>
          <w:szCs w:val="28"/>
        </w:rPr>
      </w:pPr>
      <w:r>
        <w:rPr>
          <w:rFonts w:hint="eastAsia" w:ascii="仿宋" w:hAnsi="仿宋" w:eastAsia="仿宋"/>
          <w:sz w:val="28"/>
          <w:szCs w:val="28"/>
        </w:rPr>
        <w:t>（宁波卫生职业技术学院继续教育学院）   邮编： 315010</w:t>
      </w:r>
    </w:p>
    <w:p>
      <w:pPr>
        <w:pStyle w:val="4"/>
        <w:spacing w:before="0" w:beforeAutospacing="0" w:after="0" w:afterAutospacing="0"/>
        <w:ind w:firstLine="280" w:firstLineChars="100"/>
        <w:jc w:val="both"/>
        <w:rPr>
          <w:rFonts w:hint="eastAsia" w:ascii="仿宋" w:hAnsi="仿宋" w:eastAsia="仿宋"/>
          <w:sz w:val="28"/>
          <w:szCs w:val="28"/>
          <w:highlight w:val="none"/>
          <w:lang w:val="en-US" w:eastAsia="zh-CN"/>
        </w:rPr>
      </w:pPr>
      <w:r>
        <w:rPr>
          <w:rFonts w:hint="eastAsia" w:ascii="仿宋" w:hAnsi="仿宋" w:eastAsia="仿宋"/>
          <w:sz w:val="28"/>
          <w:szCs w:val="28"/>
        </w:rPr>
        <w:t>（2）</w:t>
      </w:r>
      <w:r>
        <w:rPr>
          <w:rFonts w:hint="eastAsia" w:ascii="仿宋" w:hAnsi="仿宋" w:eastAsia="仿宋"/>
          <w:sz w:val="28"/>
          <w:szCs w:val="28"/>
          <w:highlight w:val="none"/>
        </w:rPr>
        <w:t>咨询电话：0574-872</w:t>
      </w:r>
      <w:r>
        <w:rPr>
          <w:rFonts w:hint="eastAsia" w:ascii="仿宋" w:hAnsi="仿宋" w:eastAsia="仿宋"/>
          <w:sz w:val="28"/>
          <w:szCs w:val="28"/>
          <w:highlight w:val="none"/>
          <w:lang w:val="en-US" w:eastAsia="zh-CN"/>
        </w:rPr>
        <w:t>49105</w:t>
      </w:r>
    </w:p>
    <w:p>
      <w:pPr>
        <w:pStyle w:val="4"/>
        <w:spacing w:before="0" w:beforeAutospacing="0" w:after="0" w:afterAutospacing="0"/>
        <w:ind w:firstLine="280" w:firstLineChars="100"/>
        <w:jc w:val="both"/>
        <w:rPr>
          <w:rFonts w:ascii="仿宋" w:hAnsi="仿宋" w:eastAsia="仿宋"/>
          <w:sz w:val="28"/>
          <w:szCs w:val="28"/>
        </w:rPr>
      </w:pPr>
      <w:r>
        <w:rPr>
          <w:rFonts w:hint="eastAsia" w:ascii="仿宋" w:hAnsi="仿宋" w:eastAsia="仿宋"/>
          <w:sz w:val="28"/>
          <w:szCs w:val="28"/>
        </w:rPr>
        <w:t>（3）邮    箱：3417669521@qq.com</w:t>
      </w:r>
    </w:p>
    <w:p>
      <w:pPr>
        <w:pStyle w:val="4"/>
        <w:spacing w:before="0" w:beforeAutospacing="0" w:after="0" w:afterAutospacing="0"/>
        <w:ind w:firstLine="280" w:firstLineChars="100"/>
        <w:jc w:val="both"/>
        <w:rPr>
          <w:rFonts w:ascii="仿宋" w:hAnsi="仿宋" w:eastAsia="仿宋"/>
          <w:sz w:val="28"/>
          <w:szCs w:val="28"/>
        </w:rPr>
      </w:pPr>
      <w:r>
        <w:rPr>
          <w:rFonts w:hint="eastAsia" w:ascii="仿宋" w:hAnsi="仿宋" w:eastAsia="仿宋"/>
          <w:sz w:val="28"/>
          <w:szCs w:val="28"/>
        </w:rPr>
        <w:t>（4）学院网址：</w:t>
      </w:r>
      <w:r>
        <w:fldChar w:fldCharType="begin"/>
      </w:r>
      <w:r>
        <w:instrText xml:space="preserve"> HYPERLINK "http://jjxy.nchs.edu.cn/" </w:instrText>
      </w:r>
      <w:r>
        <w:fldChar w:fldCharType="separate"/>
      </w:r>
      <w:r>
        <w:rPr>
          <w:rStyle w:val="6"/>
          <w:rFonts w:hint="eastAsia" w:ascii="仿宋" w:hAnsi="仿宋" w:eastAsia="仿宋"/>
          <w:sz w:val="28"/>
          <w:szCs w:val="28"/>
        </w:rPr>
        <w:t>http://jjxy.nchs.edu.cn/</w:t>
      </w:r>
      <w:r>
        <w:rPr>
          <w:rStyle w:val="6"/>
          <w:rFonts w:hint="eastAsia" w:ascii="仿宋" w:hAnsi="仿宋" w:eastAsia="仿宋"/>
          <w:sz w:val="28"/>
          <w:szCs w:val="28"/>
        </w:rPr>
        <w:fldChar w:fldCharType="end"/>
      </w:r>
    </w:p>
    <w:p>
      <w:pPr>
        <w:pStyle w:val="4"/>
        <w:spacing w:before="0" w:beforeAutospacing="0" w:after="0" w:afterAutospacing="0"/>
        <w:jc w:val="both"/>
        <w:rPr>
          <w:rFonts w:ascii="仿宋" w:hAnsi="仿宋" w:eastAsia="仿宋"/>
          <w:sz w:val="28"/>
          <w:szCs w:val="28"/>
        </w:rPr>
      </w:pPr>
    </w:p>
    <w:p>
      <w:pPr>
        <w:pStyle w:val="4"/>
        <w:spacing w:before="0" w:beforeAutospacing="0" w:after="0" w:afterAutospacing="0"/>
        <w:ind w:firstLine="280" w:firstLineChars="100"/>
        <w:jc w:val="both"/>
        <w:rPr>
          <w:rFonts w:ascii="仿宋" w:hAnsi="仿宋" w:eastAsia="仿宋"/>
          <w:sz w:val="28"/>
          <w:szCs w:val="28"/>
        </w:rPr>
      </w:pPr>
      <w:r>
        <w:rPr>
          <w:rFonts w:hint="eastAsia" w:ascii="仿宋" w:hAnsi="仿宋" w:eastAsia="仿宋"/>
          <w:sz w:val="28"/>
          <w:szCs w:val="28"/>
        </w:rPr>
        <w:t xml:space="preserve">                                 宁波卫生职业技术学院</w:t>
      </w:r>
    </w:p>
    <w:p>
      <w:pPr>
        <w:pStyle w:val="4"/>
        <w:spacing w:before="0" w:beforeAutospacing="0" w:after="0" w:afterAutospacing="0"/>
        <w:ind w:firstLine="280" w:firstLineChars="100"/>
        <w:jc w:val="both"/>
        <w:rPr>
          <w:rFonts w:ascii="仿宋" w:hAnsi="仿宋" w:eastAsia="仿宋"/>
          <w:sz w:val="28"/>
          <w:szCs w:val="28"/>
        </w:rPr>
      </w:pPr>
      <w:r>
        <w:rPr>
          <w:rFonts w:hint="eastAsia" w:ascii="仿宋" w:hAnsi="仿宋" w:eastAsia="仿宋"/>
          <w:sz w:val="28"/>
          <w:szCs w:val="28"/>
        </w:rPr>
        <w:t xml:space="preserve">                                   201</w:t>
      </w:r>
      <w:r>
        <w:rPr>
          <w:rFonts w:hint="eastAsia" w:ascii="仿宋" w:hAnsi="仿宋" w:eastAsia="仿宋"/>
          <w:sz w:val="28"/>
          <w:szCs w:val="28"/>
          <w:lang w:val="en-US" w:eastAsia="zh-CN"/>
        </w:rPr>
        <w:t>9</w:t>
      </w:r>
      <w:r>
        <w:rPr>
          <w:rFonts w:hint="eastAsia" w:ascii="仿宋" w:hAnsi="仿宋" w:eastAsia="仿宋"/>
          <w:sz w:val="28"/>
          <w:szCs w:val="28"/>
        </w:rPr>
        <w:t>年8月</w:t>
      </w:r>
      <w:r>
        <w:rPr>
          <w:rFonts w:hint="eastAsia" w:ascii="仿宋" w:hAnsi="仿宋" w:eastAsia="仿宋"/>
          <w:sz w:val="28"/>
          <w:szCs w:val="28"/>
          <w:lang w:val="en-US" w:eastAsia="zh-CN"/>
        </w:rPr>
        <w:t>6</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860D3"/>
    <w:multiLevelType w:val="singleLevel"/>
    <w:tmpl w:val="59E860D3"/>
    <w:lvl w:ilvl="0" w:tentative="0">
      <w:start w:val="1"/>
      <w:numFmt w:val="decimal"/>
      <w:lvlText w:val="%1."/>
      <w:lvlJc w:val="left"/>
      <w:pPr>
        <w:tabs>
          <w:tab w:val="left"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05D"/>
    <w:rsid w:val="00270187"/>
    <w:rsid w:val="002D2D06"/>
    <w:rsid w:val="006A06BD"/>
    <w:rsid w:val="00772E99"/>
    <w:rsid w:val="0089705D"/>
    <w:rsid w:val="009544F9"/>
    <w:rsid w:val="009F0184"/>
    <w:rsid w:val="00A5725F"/>
    <w:rsid w:val="00A77071"/>
    <w:rsid w:val="00BB1E78"/>
    <w:rsid w:val="00C55DBE"/>
    <w:rsid w:val="00CC57A6"/>
    <w:rsid w:val="00D65FBD"/>
    <w:rsid w:val="00E3154D"/>
    <w:rsid w:val="00F93D6C"/>
    <w:rsid w:val="63C30E9A"/>
    <w:rsid w:val="74D80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kern w:val="0"/>
      <w:sz w:val="24"/>
    </w:rPr>
  </w:style>
  <w:style w:type="character" w:styleId="6">
    <w:name w:val="Hyperlink"/>
    <w:basedOn w:val="5"/>
    <w:semiHidden/>
    <w:unhideWhenUsed/>
    <w:qFormat/>
    <w:uiPriority w:val="99"/>
    <w:rPr>
      <w:color w:val="0000FF" w:themeColor="hyperlink"/>
      <w:u w:val="single"/>
      <w14:textFill>
        <w14:solidFill>
          <w14:schemeClr w14:val="hlink"/>
        </w14:solidFill>
      </w14:textFill>
    </w:rPr>
  </w:style>
  <w:style w:type="character" w:customStyle="1" w:styleId="8">
    <w:name w:val="页眉 Char"/>
    <w:basedOn w:val="5"/>
    <w:link w:val="3"/>
    <w:uiPriority w:val="99"/>
    <w:rPr>
      <w:sz w:val="18"/>
      <w:szCs w:val="18"/>
    </w:rPr>
  </w:style>
  <w:style w:type="character" w:customStyle="1" w:styleId="9">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149</Words>
  <Characters>851</Characters>
  <Lines>7</Lines>
  <Paragraphs>1</Paragraphs>
  <TotalTime>25</TotalTime>
  <ScaleCrop>false</ScaleCrop>
  <LinksUpToDate>false</LinksUpToDate>
  <CharactersWithSpaces>999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2018-08-05T07:36:00Z</dcterms:created>
  <dc:creator>win</dc:creator>
  <cp:lastModifiedBy>www</cp:lastModifiedBy>
  <dcterms:modified xsi:type="dcterms:W3CDTF">2019-08-19T07:43:07Z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