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83" w:rsidRDefault="007C7622" w:rsidP="007C7622">
      <w:pPr>
        <w:pStyle w:val="a5"/>
        <w:shd w:val="clear" w:color="auto" w:fill="FFFFFF"/>
        <w:spacing w:before="0" w:beforeAutospacing="0" w:after="0" w:afterAutospacing="0"/>
        <w:jc w:val="center"/>
        <w:rPr>
          <w:rStyle w:val="a6"/>
          <w:rFonts w:asciiTheme="majorEastAsia" w:eastAsiaTheme="majorEastAsia" w:hAnsiTheme="majorEastAsia"/>
          <w:color w:val="000000"/>
          <w:sz w:val="44"/>
          <w:szCs w:val="44"/>
        </w:rPr>
      </w:pPr>
      <w:r w:rsidRPr="005929AA">
        <w:rPr>
          <w:rStyle w:val="a6"/>
          <w:rFonts w:asciiTheme="majorEastAsia" w:eastAsiaTheme="majorEastAsia" w:hAnsiTheme="majorEastAsia" w:hint="eastAsia"/>
          <w:color w:val="000000"/>
          <w:sz w:val="44"/>
          <w:szCs w:val="44"/>
        </w:rPr>
        <w:t>浙江工商职业技术学院</w:t>
      </w:r>
    </w:p>
    <w:p w:rsidR="007C7622" w:rsidRPr="005929AA" w:rsidRDefault="004E1A3A" w:rsidP="007C7622">
      <w:pPr>
        <w:pStyle w:val="a5"/>
        <w:shd w:val="clear" w:color="auto" w:fill="FFFFFF"/>
        <w:spacing w:before="0" w:beforeAutospacing="0" w:after="0" w:afterAutospacing="0"/>
        <w:jc w:val="center"/>
        <w:rPr>
          <w:rStyle w:val="a6"/>
          <w:rFonts w:asciiTheme="majorEastAsia" w:eastAsiaTheme="majorEastAsia" w:hAnsiTheme="majorEastAsia"/>
          <w:sz w:val="44"/>
          <w:szCs w:val="44"/>
        </w:rPr>
      </w:pPr>
      <w:r w:rsidRPr="005929AA">
        <w:rPr>
          <w:rStyle w:val="a6"/>
          <w:rFonts w:asciiTheme="majorEastAsia" w:eastAsiaTheme="majorEastAsia" w:hAnsiTheme="majorEastAsia" w:hint="eastAsia"/>
          <w:color w:val="000000"/>
          <w:sz w:val="44"/>
          <w:szCs w:val="44"/>
        </w:rPr>
        <w:t>2019</w:t>
      </w:r>
      <w:r w:rsidR="007C7622" w:rsidRPr="005929AA">
        <w:rPr>
          <w:rStyle w:val="a6"/>
          <w:rFonts w:asciiTheme="majorEastAsia" w:eastAsiaTheme="majorEastAsia" w:hAnsiTheme="majorEastAsia" w:hint="eastAsia"/>
          <w:color w:val="000000"/>
          <w:sz w:val="44"/>
          <w:szCs w:val="44"/>
        </w:rPr>
        <w:t>年</w:t>
      </w:r>
      <w:r w:rsidR="005929AA" w:rsidRPr="005929AA">
        <w:rPr>
          <w:rStyle w:val="a6"/>
          <w:rFonts w:asciiTheme="majorEastAsia" w:eastAsiaTheme="majorEastAsia" w:hAnsiTheme="majorEastAsia" w:hint="eastAsia"/>
          <w:color w:val="000000"/>
          <w:sz w:val="44"/>
          <w:szCs w:val="44"/>
        </w:rPr>
        <w:t>成人学历教育</w:t>
      </w:r>
      <w:r w:rsidR="007C7622" w:rsidRPr="005929AA">
        <w:rPr>
          <w:rStyle w:val="a6"/>
          <w:rFonts w:asciiTheme="majorEastAsia" w:eastAsiaTheme="majorEastAsia" w:hAnsiTheme="majorEastAsia" w:hint="eastAsia"/>
          <w:color w:val="000000"/>
          <w:sz w:val="44"/>
          <w:szCs w:val="44"/>
        </w:rPr>
        <w:t>招生章程</w:t>
      </w:r>
    </w:p>
    <w:p w:rsidR="007C7622" w:rsidRDefault="007C7622" w:rsidP="007C7622">
      <w:pPr>
        <w:pStyle w:val="a5"/>
        <w:shd w:val="clear" w:color="auto" w:fill="FFFFFF"/>
        <w:spacing w:before="0" w:beforeAutospacing="0" w:after="0" w:afterAutospacing="0" w:line="435" w:lineRule="atLeast"/>
        <w:ind w:firstLine="570"/>
        <w:rPr>
          <w:rFonts w:ascii="微软雅黑" w:eastAsia="微软雅黑" w:hAnsi="微软雅黑"/>
          <w:color w:val="000000"/>
        </w:rPr>
      </w:pPr>
      <w:r>
        <w:rPr>
          <w:rFonts w:hint="eastAsia"/>
          <w:color w:val="000000"/>
          <w:sz w:val="29"/>
          <w:szCs w:val="29"/>
        </w:rPr>
        <w:t> </w:t>
      </w:r>
    </w:p>
    <w:p w:rsidR="007C7622" w:rsidRPr="00780711" w:rsidRDefault="00780711" w:rsidP="005929AA">
      <w:pPr>
        <w:spacing w:line="360" w:lineRule="auto"/>
        <w:ind w:firstLineChars="200" w:firstLine="480"/>
        <w:rPr>
          <w:rFonts w:ascii="宋体" w:hAnsi="宋体"/>
          <w:sz w:val="24"/>
        </w:rPr>
      </w:pPr>
      <w:r>
        <w:rPr>
          <w:rFonts w:ascii="宋体" w:hAnsi="宋体" w:hint="eastAsia"/>
          <w:sz w:val="24"/>
        </w:rPr>
        <w:t>为</w:t>
      </w:r>
      <w:r w:rsidR="004E1A3A">
        <w:rPr>
          <w:rFonts w:ascii="宋体" w:hAnsi="宋体" w:hint="eastAsia"/>
          <w:sz w:val="24"/>
        </w:rPr>
        <w:t>进一步做好我校成人高等教育招生录取工作，体现公开、公平、公正原则，根</w:t>
      </w:r>
      <w:r w:rsidR="007C7622" w:rsidRPr="00780711">
        <w:rPr>
          <w:rFonts w:ascii="宋体" w:hAnsi="宋体" w:hint="eastAsia"/>
          <w:sz w:val="24"/>
        </w:rPr>
        <w:t>据《浙江省</w:t>
      </w:r>
      <w:r w:rsidR="00A662AA" w:rsidRPr="00780711">
        <w:rPr>
          <w:rFonts w:ascii="宋体" w:hAnsi="宋体" w:hint="eastAsia"/>
          <w:sz w:val="24"/>
        </w:rPr>
        <w:t>成人</w:t>
      </w:r>
      <w:r w:rsidR="007C7622" w:rsidRPr="00780711">
        <w:rPr>
          <w:rFonts w:ascii="宋体" w:hAnsi="宋体" w:hint="eastAsia"/>
          <w:sz w:val="24"/>
        </w:rPr>
        <w:t>高校招生工作实施意见》，结合学校实际情况，特制定本招生章程。</w:t>
      </w:r>
    </w:p>
    <w:p w:rsidR="007C7622" w:rsidRDefault="007C7622" w:rsidP="005929AA">
      <w:pPr>
        <w:pStyle w:val="a5"/>
        <w:shd w:val="clear" w:color="auto" w:fill="FFFFFF"/>
        <w:spacing w:before="0" w:beforeAutospacing="0" w:after="0" w:afterAutospacing="0" w:line="360" w:lineRule="auto"/>
        <w:jc w:val="center"/>
        <w:rPr>
          <w:rFonts w:ascii="微软雅黑" w:eastAsia="微软雅黑" w:hAnsi="微软雅黑"/>
          <w:color w:val="000000"/>
        </w:rPr>
      </w:pPr>
      <w:r>
        <w:rPr>
          <w:rStyle w:val="a6"/>
          <w:rFonts w:hint="eastAsia"/>
          <w:color w:val="000000"/>
          <w:sz w:val="30"/>
          <w:szCs w:val="30"/>
        </w:rPr>
        <w:t>第一章</w:t>
      </w:r>
      <w:r w:rsidR="00F3600B">
        <w:rPr>
          <w:rStyle w:val="a6"/>
          <w:rFonts w:hint="eastAsia"/>
          <w:color w:val="000000"/>
          <w:sz w:val="30"/>
          <w:szCs w:val="30"/>
        </w:rPr>
        <w:t xml:space="preserve">  </w:t>
      </w:r>
      <w:r>
        <w:rPr>
          <w:rStyle w:val="a6"/>
          <w:rFonts w:hint="eastAsia"/>
          <w:color w:val="000000"/>
          <w:sz w:val="30"/>
          <w:szCs w:val="30"/>
        </w:rPr>
        <w:t>学校概况</w:t>
      </w:r>
    </w:p>
    <w:p w:rsidR="004E72A2" w:rsidRDefault="007C7622" w:rsidP="005929AA">
      <w:pPr>
        <w:pStyle w:val="a5"/>
        <w:shd w:val="clear" w:color="auto" w:fill="FFFFFF"/>
        <w:spacing w:before="0" w:beforeAutospacing="0" w:after="0" w:afterAutospacing="0" w:line="360" w:lineRule="auto"/>
        <w:ind w:firstLineChars="200" w:firstLine="480"/>
        <w:rPr>
          <w:color w:val="000000"/>
        </w:rPr>
      </w:pPr>
      <w:r>
        <w:rPr>
          <w:rFonts w:hint="eastAsia"/>
          <w:color w:val="000000"/>
        </w:rPr>
        <w:t>1、学校全称：浙江工商职业技术学院</w:t>
      </w:r>
    </w:p>
    <w:p w:rsidR="007C7622" w:rsidRDefault="004E72A2" w:rsidP="005929AA">
      <w:pPr>
        <w:pStyle w:val="a5"/>
        <w:shd w:val="clear" w:color="auto" w:fill="FFFFFF"/>
        <w:spacing w:before="0" w:beforeAutospacing="0" w:after="0" w:afterAutospacing="0" w:line="360" w:lineRule="auto"/>
        <w:ind w:firstLineChars="200" w:firstLine="480"/>
        <w:rPr>
          <w:color w:val="000000"/>
        </w:rPr>
      </w:pPr>
      <w:r>
        <w:rPr>
          <w:rFonts w:hint="eastAsia"/>
          <w:color w:val="000000"/>
        </w:rPr>
        <w:t>2、</w:t>
      </w:r>
      <w:r w:rsidR="007C7622">
        <w:rPr>
          <w:rFonts w:hint="eastAsia"/>
          <w:color w:val="000000"/>
        </w:rPr>
        <w:t>学校国</w:t>
      </w:r>
      <w:r w:rsidR="00517583">
        <w:rPr>
          <w:rFonts w:hint="eastAsia"/>
          <w:color w:val="000000"/>
        </w:rPr>
        <w:t>家代</w:t>
      </w:r>
      <w:r w:rsidR="007C7622">
        <w:rPr>
          <w:rFonts w:hint="eastAsia"/>
          <w:color w:val="000000"/>
        </w:rPr>
        <w:t>码：12789</w:t>
      </w:r>
    </w:p>
    <w:p w:rsidR="00517583" w:rsidRPr="00517583" w:rsidRDefault="00517583" w:rsidP="00517583">
      <w:pPr>
        <w:pStyle w:val="a5"/>
        <w:shd w:val="clear" w:color="auto" w:fill="FFFFFF"/>
        <w:spacing w:before="0" w:beforeAutospacing="0" w:after="0" w:afterAutospacing="0" w:line="360" w:lineRule="auto"/>
        <w:ind w:firstLineChars="200" w:firstLine="480"/>
        <w:rPr>
          <w:color w:val="000000"/>
        </w:rPr>
      </w:pPr>
      <w:r>
        <w:rPr>
          <w:rFonts w:hint="eastAsia"/>
          <w:color w:val="000000"/>
        </w:rPr>
        <w:t>3、</w:t>
      </w:r>
      <w:r w:rsidRPr="00517583">
        <w:rPr>
          <w:rFonts w:hint="eastAsia"/>
          <w:color w:val="000000"/>
        </w:rPr>
        <w:t>学校省代码</w:t>
      </w:r>
      <w:r w:rsidR="00113D91">
        <w:rPr>
          <w:rFonts w:hint="eastAsia"/>
          <w:color w:val="000000"/>
        </w:rPr>
        <w:t>：</w:t>
      </w:r>
      <w:r w:rsidRPr="00517583">
        <w:rPr>
          <w:rFonts w:hint="eastAsia"/>
          <w:color w:val="000000"/>
        </w:rPr>
        <w:t>612</w:t>
      </w:r>
    </w:p>
    <w:p w:rsidR="007C7622" w:rsidRPr="00517583" w:rsidRDefault="00517583" w:rsidP="005929AA">
      <w:pPr>
        <w:pStyle w:val="a5"/>
        <w:shd w:val="clear" w:color="auto" w:fill="FFFFFF"/>
        <w:spacing w:before="0" w:beforeAutospacing="0" w:after="0" w:afterAutospacing="0" w:line="360" w:lineRule="auto"/>
        <w:ind w:firstLineChars="200" w:firstLine="480"/>
        <w:rPr>
          <w:color w:val="000000"/>
        </w:rPr>
      </w:pPr>
      <w:r>
        <w:rPr>
          <w:rFonts w:hint="eastAsia"/>
          <w:color w:val="000000"/>
        </w:rPr>
        <w:t>4、学校地址</w:t>
      </w:r>
      <w:r w:rsidR="007C7622">
        <w:rPr>
          <w:rFonts w:hint="eastAsia"/>
          <w:color w:val="000000"/>
        </w:rPr>
        <w:t>：浙江省宁波市机场路1988号</w:t>
      </w:r>
    </w:p>
    <w:p w:rsidR="007C7622" w:rsidRPr="00517583" w:rsidRDefault="00517583" w:rsidP="005929AA">
      <w:pPr>
        <w:pStyle w:val="a5"/>
        <w:shd w:val="clear" w:color="auto" w:fill="FFFFFF"/>
        <w:spacing w:before="0" w:beforeAutospacing="0" w:after="0" w:afterAutospacing="0" w:line="360" w:lineRule="auto"/>
        <w:ind w:firstLineChars="200" w:firstLine="480"/>
        <w:rPr>
          <w:color w:val="000000"/>
        </w:rPr>
      </w:pPr>
      <w:r>
        <w:rPr>
          <w:rFonts w:hint="eastAsia"/>
          <w:color w:val="000000"/>
        </w:rPr>
        <w:t>5、</w:t>
      </w:r>
      <w:r w:rsidR="007C7622">
        <w:rPr>
          <w:rFonts w:hint="eastAsia"/>
          <w:color w:val="000000"/>
        </w:rPr>
        <w:t>邮政编码：315012</w:t>
      </w:r>
    </w:p>
    <w:p w:rsidR="007C7622" w:rsidRDefault="00517583" w:rsidP="005929AA">
      <w:pPr>
        <w:pStyle w:val="a5"/>
        <w:shd w:val="clear" w:color="auto" w:fill="FFFFFF"/>
        <w:spacing w:before="0" w:beforeAutospacing="0" w:after="0" w:afterAutospacing="0" w:line="360" w:lineRule="auto"/>
        <w:ind w:firstLineChars="200" w:firstLine="480"/>
        <w:rPr>
          <w:rFonts w:ascii="微软雅黑" w:eastAsia="微软雅黑" w:hAnsi="微软雅黑"/>
          <w:color w:val="000000"/>
        </w:rPr>
      </w:pPr>
      <w:r w:rsidRPr="00517583">
        <w:rPr>
          <w:rFonts w:hint="eastAsia"/>
          <w:color w:val="000000"/>
        </w:rPr>
        <w:t>6、</w:t>
      </w:r>
      <w:r w:rsidR="007C7622">
        <w:rPr>
          <w:rFonts w:hint="eastAsia"/>
          <w:color w:val="000000"/>
        </w:rPr>
        <w:t>办学类型：公办</w:t>
      </w:r>
      <w:r w:rsidR="00260409">
        <w:rPr>
          <w:rFonts w:hint="eastAsia"/>
          <w:color w:val="000000"/>
        </w:rPr>
        <w:t>成人教育</w:t>
      </w:r>
    </w:p>
    <w:p w:rsidR="007C7622" w:rsidRDefault="00517583" w:rsidP="005929AA">
      <w:pPr>
        <w:pStyle w:val="a5"/>
        <w:shd w:val="clear" w:color="auto" w:fill="FFFFFF"/>
        <w:spacing w:before="0" w:beforeAutospacing="0" w:after="0" w:afterAutospacing="0" w:line="360" w:lineRule="auto"/>
        <w:ind w:firstLineChars="200" w:firstLine="480"/>
        <w:rPr>
          <w:rFonts w:ascii="微软雅黑" w:eastAsia="微软雅黑" w:hAnsi="微软雅黑"/>
          <w:color w:val="000000"/>
        </w:rPr>
      </w:pPr>
      <w:r>
        <w:rPr>
          <w:rFonts w:asciiTheme="minorEastAsia" w:hAnsiTheme="minorEastAsia" w:hint="eastAsia"/>
          <w:color w:val="000000"/>
        </w:rPr>
        <w:t>7、</w:t>
      </w:r>
      <w:r w:rsidR="007C7622">
        <w:rPr>
          <w:rFonts w:hint="eastAsia"/>
          <w:color w:val="000000"/>
        </w:rPr>
        <w:t>办学层次：高</w:t>
      </w:r>
      <w:r w:rsidR="004E72A2">
        <w:rPr>
          <w:rFonts w:hint="eastAsia"/>
          <w:color w:val="000000"/>
        </w:rPr>
        <w:t>起专</w:t>
      </w:r>
    </w:p>
    <w:p w:rsidR="00DE7D14" w:rsidRPr="00A662AA" w:rsidRDefault="00517583" w:rsidP="005929AA">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w:t>
      </w:r>
      <w:r w:rsidR="00DE7D14" w:rsidRPr="00A662AA">
        <w:rPr>
          <w:rFonts w:asciiTheme="minorEastAsia" w:hAnsiTheme="minorEastAsia" w:hint="eastAsia"/>
          <w:color w:val="000000"/>
          <w:sz w:val="24"/>
          <w:szCs w:val="24"/>
        </w:rPr>
        <w:t>学校</w:t>
      </w:r>
      <w:r w:rsidR="004E72A2">
        <w:rPr>
          <w:rFonts w:asciiTheme="minorEastAsia" w:hAnsiTheme="minorEastAsia" w:hint="eastAsia"/>
          <w:color w:val="000000"/>
          <w:sz w:val="24"/>
          <w:szCs w:val="24"/>
        </w:rPr>
        <w:t>简</w:t>
      </w:r>
      <w:r w:rsidR="007C7622" w:rsidRPr="00A662AA">
        <w:rPr>
          <w:rFonts w:asciiTheme="minorEastAsia" w:hAnsiTheme="minorEastAsia" w:hint="eastAsia"/>
          <w:color w:val="000000"/>
          <w:sz w:val="24"/>
          <w:szCs w:val="24"/>
        </w:rPr>
        <w:t>况</w:t>
      </w:r>
      <w:r w:rsidR="00DE7D14" w:rsidRPr="00A662AA">
        <w:rPr>
          <w:rFonts w:asciiTheme="minorEastAsia" w:hAnsiTheme="minorEastAsia" w:hint="eastAsia"/>
          <w:color w:val="000000"/>
          <w:sz w:val="24"/>
          <w:szCs w:val="24"/>
        </w:rPr>
        <w:t>：</w:t>
      </w:r>
    </w:p>
    <w:p w:rsidR="00DE7D14" w:rsidRDefault="00DE7D14" w:rsidP="005929AA">
      <w:pPr>
        <w:spacing w:line="360" w:lineRule="auto"/>
        <w:ind w:firstLineChars="200" w:firstLine="480"/>
        <w:rPr>
          <w:rFonts w:ascii="宋体" w:hAnsi="宋体"/>
          <w:sz w:val="24"/>
        </w:rPr>
      </w:pPr>
      <w:r>
        <w:rPr>
          <w:rFonts w:ascii="宋体" w:hAnsi="宋体" w:hint="eastAsia"/>
          <w:sz w:val="24"/>
        </w:rPr>
        <w:t>浙江工商职业技术学院是浙江省人民政府批准成立的公办普通高等职业院校，有着百余年的办学历史。</w:t>
      </w:r>
      <w:r w:rsidRPr="004E72A2">
        <w:rPr>
          <w:rFonts w:ascii="宋体" w:hAnsi="宋体" w:hint="eastAsia"/>
          <w:sz w:val="24"/>
        </w:rPr>
        <w:t>形成了</w:t>
      </w:r>
      <w:r>
        <w:rPr>
          <w:rFonts w:ascii="宋体" w:hAnsi="宋体" w:hint="eastAsia"/>
          <w:sz w:val="24"/>
        </w:rPr>
        <w:t>“</w:t>
      </w:r>
      <w:r w:rsidRPr="004E72A2">
        <w:rPr>
          <w:rFonts w:ascii="宋体" w:hAnsi="宋体" w:hint="eastAsia"/>
          <w:sz w:val="24"/>
        </w:rPr>
        <w:t>传承宁波商帮精神，培育现代商帮人才”的办学特色</w:t>
      </w:r>
      <w:r w:rsidR="00780711" w:rsidRPr="004E72A2">
        <w:rPr>
          <w:rFonts w:ascii="宋体" w:hAnsi="宋体" w:hint="eastAsia"/>
          <w:sz w:val="24"/>
        </w:rPr>
        <w:t>。</w:t>
      </w:r>
      <w:r>
        <w:rPr>
          <w:rFonts w:ascii="宋体" w:hAnsi="宋体" w:hint="eastAsia"/>
          <w:sz w:val="24"/>
        </w:rPr>
        <w:t>学校</w:t>
      </w:r>
      <w:r w:rsidR="00780711" w:rsidRPr="004E72A2">
        <w:rPr>
          <w:rFonts w:ascii="宋体" w:hAnsi="宋体" w:hint="eastAsia"/>
          <w:sz w:val="24"/>
        </w:rPr>
        <w:t>本部占地401亩</w:t>
      </w:r>
      <w:r>
        <w:rPr>
          <w:rFonts w:ascii="宋体" w:hAnsi="宋体" w:hint="eastAsia"/>
          <w:sz w:val="24"/>
        </w:rPr>
        <w:t>，教学仪器设备总值1.78亿元，图书馆藏书190万余册。继续教育学院是学校直属教学服务单位，全面负责成人学历教育、自考全日制助学、职业技能鉴定及各类培训等工作，学院坚持“以管理求质量、以质量求声誉、以声誉求发展”为办学指导思想，着力以培养社会需要的应用型复合人才为办学目标，以整个学校的综合实力为依托，充分利用学校优质的教育资源，办学态度严谨、管理严格、服务到位，确保办学质量，赢得了良好的社会声誉。学校一直重视继续教育工作，现已形成学历教育与非学历教育并举，多层次、多形式、多渠道的服务型成年人教育办学体系。学院现为宁波市退役士兵成人高等学历教育（专科）的唯一承训机构，共</w:t>
      </w:r>
      <w:r w:rsidRPr="004E1366">
        <w:rPr>
          <w:rFonts w:ascii="宋体" w:hAnsi="宋体" w:hint="eastAsia"/>
          <w:sz w:val="24"/>
        </w:rPr>
        <w:t>有工商企业管理、会计学、市场营销、国际商务等</w:t>
      </w:r>
      <w:r>
        <w:rPr>
          <w:rFonts w:ascii="宋体" w:hAnsi="宋体" w:hint="eastAsia"/>
          <w:sz w:val="24"/>
        </w:rPr>
        <w:t>28</w:t>
      </w:r>
      <w:r w:rsidRPr="004E1366">
        <w:rPr>
          <w:rFonts w:ascii="宋体" w:hAnsi="宋体" w:hint="eastAsia"/>
          <w:sz w:val="24"/>
        </w:rPr>
        <w:t>个专业；</w:t>
      </w:r>
      <w:r>
        <w:rPr>
          <w:rFonts w:ascii="宋体" w:hAnsi="宋体" w:hint="eastAsia"/>
          <w:sz w:val="24"/>
        </w:rPr>
        <w:t>各专业课程选聘具有较高水平和丰富教学经验的教师任课，学生修完专业教学计划规定的课程，成绩合格，颁发毕业证书，国家承</w:t>
      </w:r>
      <w:r>
        <w:rPr>
          <w:rFonts w:ascii="宋体" w:hAnsi="宋体" w:hint="eastAsia"/>
          <w:sz w:val="24"/>
        </w:rPr>
        <w:lastRenderedPageBreak/>
        <w:t>认学历。</w:t>
      </w:r>
    </w:p>
    <w:p w:rsidR="004E72A2" w:rsidRPr="004E72A2" w:rsidRDefault="004E72A2" w:rsidP="005929AA">
      <w:pPr>
        <w:pStyle w:val="a5"/>
        <w:shd w:val="clear" w:color="auto" w:fill="FFFFFF"/>
        <w:spacing w:before="0" w:beforeAutospacing="0" w:after="0" w:afterAutospacing="0" w:line="360" w:lineRule="auto"/>
        <w:jc w:val="center"/>
        <w:rPr>
          <w:rStyle w:val="a6"/>
          <w:sz w:val="30"/>
          <w:szCs w:val="30"/>
        </w:rPr>
      </w:pPr>
      <w:r>
        <w:rPr>
          <w:rStyle w:val="a6"/>
          <w:rFonts w:hint="eastAsia"/>
          <w:color w:val="000000"/>
          <w:sz w:val="30"/>
          <w:szCs w:val="30"/>
        </w:rPr>
        <w:t>第二章</w:t>
      </w:r>
      <w:r w:rsidR="00F3600B">
        <w:rPr>
          <w:rStyle w:val="a6"/>
          <w:rFonts w:hint="eastAsia"/>
          <w:color w:val="000000"/>
          <w:sz w:val="30"/>
          <w:szCs w:val="30"/>
        </w:rPr>
        <w:t xml:space="preserve">  </w:t>
      </w:r>
      <w:r w:rsidRPr="004E72A2">
        <w:rPr>
          <w:rStyle w:val="a6"/>
          <w:rFonts w:hint="eastAsia"/>
          <w:sz w:val="30"/>
          <w:szCs w:val="30"/>
        </w:rPr>
        <w:t>招生专业</w:t>
      </w:r>
      <w:r>
        <w:rPr>
          <w:rStyle w:val="a6"/>
          <w:rFonts w:hint="eastAsia"/>
          <w:sz w:val="30"/>
          <w:szCs w:val="30"/>
        </w:rPr>
        <w:t>与学习形式</w:t>
      </w:r>
    </w:p>
    <w:tbl>
      <w:tblPr>
        <w:tblStyle w:val="a7"/>
        <w:tblW w:w="0" w:type="auto"/>
        <w:jc w:val="center"/>
        <w:tblLook w:val="04A0"/>
      </w:tblPr>
      <w:tblGrid>
        <w:gridCol w:w="792"/>
        <w:gridCol w:w="2410"/>
        <w:gridCol w:w="1058"/>
        <w:gridCol w:w="1420"/>
        <w:gridCol w:w="1232"/>
        <w:gridCol w:w="1276"/>
      </w:tblGrid>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b/>
                <w:sz w:val="24"/>
              </w:rPr>
            </w:pPr>
            <w:r w:rsidRPr="00E1500B">
              <w:rPr>
                <w:rFonts w:asciiTheme="minorEastAsia" w:hAnsiTheme="minorEastAsia" w:hint="eastAsia"/>
                <w:b/>
                <w:sz w:val="24"/>
              </w:rPr>
              <w:t>序号</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b/>
                <w:kern w:val="0"/>
                <w:sz w:val="24"/>
              </w:rPr>
            </w:pPr>
            <w:r w:rsidRPr="00E1500B">
              <w:rPr>
                <w:rFonts w:asciiTheme="minorEastAsia" w:hAnsiTheme="minorEastAsia" w:cs="Arial" w:hint="eastAsia"/>
                <w:b/>
                <w:kern w:val="0"/>
                <w:sz w:val="24"/>
              </w:rPr>
              <w:t>专业</w:t>
            </w:r>
          </w:p>
        </w:tc>
        <w:tc>
          <w:tcPr>
            <w:tcW w:w="1058" w:type="dxa"/>
            <w:vAlign w:val="center"/>
          </w:tcPr>
          <w:p w:rsidR="00A662AA" w:rsidRPr="00E1500B" w:rsidRDefault="00A662AA" w:rsidP="005929AA">
            <w:pPr>
              <w:widowControl/>
              <w:spacing w:line="360" w:lineRule="auto"/>
              <w:jc w:val="center"/>
              <w:rPr>
                <w:rFonts w:asciiTheme="minorEastAsia" w:hAnsiTheme="minorEastAsia" w:cs="Arial"/>
                <w:b/>
                <w:kern w:val="0"/>
                <w:sz w:val="24"/>
              </w:rPr>
            </w:pPr>
            <w:r w:rsidRPr="00E1500B">
              <w:rPr>
                <w:rFonts w:asciiTheme="minorEastAsia" w:hAnsiTheme="minorEastAsia" w:cs="Arial" w:hint="eastAsia"/>
                <w:b/>
                <w:kern w:val="0"/>
                <w:sz w:val="24"/>
              </w:rPr>
              <w:t>科类</w:t>
            </w:r>
          </w:p>
        </w:tc>
        <w:tc>
          <w:tcPr>
            <w:tcW w:w="1420" w:type="dxa"/>
            <w:vAlign w:val="center"/>
          </w:tcPr>
          <w:p w:rsidR="00A662AA" w:rsidRPr="00E1500B" w:rsidRDefault="00A662AA" w:rsidP="005929AA">
            <w:pPr>
              <w:widowControl/>
              <w:spacing w:line="360" w:lineRule="auto"/>
              <w:jc w:val="center"/>
              <w:rPr>
                <w:rFonts w:asciiTheme="minorEastAsia" w:hAnsiTheme="minorEastAsia" w:cs="Arial"/>
                <w:b/>
                <w:kern w:val="0"/>
                <w:sz w:val="24"/>
              </w:rPr>
            </w:pPr>
            <w:r w:rsidRPr="00E1500B">
              <w:rPr>
                <w:rFonts w:asciiTheme="minorEastAsia" w:hAnsiTheme="minorEastAsia" w:cs="Arial" w:hint="eastAsia"/>
                <w:b/>
                <w:kern w:val="0"/>
                <w:sz w:val="24"/>
              </w:rPr>
              <w:t>入学考试</w:t>
            </w:r>
          </w:p>
          <w:p w:rsidR="00A662AA" w:rsidRPr="00E1500B" w:rsidRDefault="00A662AA" w:rsidP="005929AA">
            <w:pPr>
              <w:widowControl/>
              <w:spacing w:line="360" w:lineRule="auto"/>
              <w:jc w:val="center"/>
              <w:rPr>
                <w:rFonts w:asciiTheme="minorEastAsia" w:hAnsiTheme="minorEastAsia" w:cs="Arial"/>
                <w:b/>
                <w:kern w:val="0"/>
                <w:sz w:val="24"/>
              </w:rPr>
            </w:pPr>
            <w:r w:rsidRPr="00E1500B">
              <w:rPr>
                <w:rFonts w:asciiTheme="minorEastAsia" w:hAnsiTheme="minorEastAsia" w:cs="Arial" w:hint="eastAsia"/>
                <w:b/>
                <w:kern w:val="0"/>
                <w:sz w:val="24"/>
              </w:rPr>
              <w:t>科目</w:t>
            </w:r>
          </w:p>
        </w:tc>
        <w:tc>
          <w:tcPr>
            <w:tcW w:w="1232" w:type="dxa"/>
            <w:vAlign w:val="center"/>
          </w:tcPr>
          <w:p w:rsidR="00A662AA" w:rsidRPr="00E1500B" w:rsidRDefault="00A662AA" w:rsidP="005929AA">
            <w:pPr>
              <w:spacing w:line="360" w:lineRule="auto"/>
              <w:jc w:val="center"/>
              <w:rPr>
                <w:rFonts w:asciiTheme="minorEastAsia" w:hAnsiTheme="minorEastAsia"/>
                <w:b/>
                <w:sz w:val="24"/>
              </w:rPr>
            </w:pPr>
            <w:r w:rsidRPr="00E1500B">
              <w:rPr>
                <w:rFonts w:asciiTheme="minorEastAsia" w:hAnsiTheme="minorEastAsia" w:hint="eastAsia"/>
                <w:b/>
                <w:sz w:val="24"/>
              </w:rPr>
              <w:t>学费</w:t>
            </w:r>
          </w:p>
          <w:p w:rsidR="00A662AA" w:rsidRPr="00E1500B" w:rsidRDefault="00A662AA" w:rsidP="005929AA">
            <w:pPr>
              <w:spacing w:line="360" w:lineRule="auto"/>
              <w:jc w:val="center"/>
              <w:rPr>
                <w:rFonts w:asciiTheme="minorEastAsia" w:hAnsiTheme="minorEastAsia"/>
                <w:b/>
                <w:szCs w:val="21"/>
              </w:rPr>
            </w:pPr>
            <w:r w:rsidRPr="00E1500B">
              <w:rPr>
                <w:rFonts w:asciiTheme="minorEastAsia" w:hAnsiTheme="minorEastAsia" w:hint="eastAsia"/>
                <w:b/>
                <w:szCs w:val="21"/>
              </w:rPr>
              <w:t>（元/ 年）</w:t>
            </w:r>
          </w:p>
        </w:tc>
        <w:tc>
          <w:tcPr>
            <w:tcW w:w="1276" w:type="dxa"/>
            <w:vAlign w:val="center"/>
          </w:tcPr>
          <w:p w:rsidR="00A662AA" w:rsidRPr="00E1500B" w:rsidRDefault="00A662AA" w:rsidP="005929AA">
            <w:pPr>
              <w:spacing w:line="360" w:lineRule="auto"/>
              <w:jc w:val="center"/>
              <w:rPr>
                <w:rFonts w:asciiTheme="minorEastAsia" w:hAnsiTheme="minorEastAsia"/>
                <w:b/>
                <w:sz w:val="24"/>
              </w:rPr>
            </w:pPr>
            <w:r w:rsidRPr="00E1500B">
              <w:rPr>
                <w:rFonts w:asciiTheme="minorEastAsia" w:hAnsiTheme="minorEastAsia" w:cs="Arial" w:hint="eastAsia"/>
                <w:b/>
                <w:kern w:val="0"/>
                <w:sz w:val="24"/>
              </w:rPr>
              <w:t>学习形式</w:t>
            </w: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会计</w:t>
            </w:r>
          </w:p>
        </w:tc>
        <w:tc>
          <w:tcPr>
            <w:tcW w:w="1058" w:type="dxa"/>
            <w:vMerge w:val="restart"/>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cs="Arial" w:hint="eastAsia"/>
                <w:kern w:val="0"/>
                <w:sz w:val="24"/>
              </w:rPr>
              <w:t>文科类</w:t>
            </w:r>
          </w:p>
        </w:tc>
        <w:tc>
          <w:tcPr>
            <w:tcW w:w="1420" w:type="dxa"/>
            <w:vMerge w:val="restart"/>
            <w:vAlign w:val="center"/>
          </w:tcPr>
          <w:p w:rsidR="00A662AA" w:rsidRPr="00E1500B" w:rsidRDefault="00A662AA" w:rsidP="005929AA">
            <w:pPr>
              <w:spacing w:line="360" w:lineRule="auto"/>
              <w:jc w:val="left"/>
              <w:rPr>
                <w:rFonts w:asciiTheme="minorEastAsia" w:hAnsiTheme="minorEastAsia" w:cs="Arial"/>
                <w:kern w:val="0"/>
                <w:sz w:val="24"/>
              </w:rPr>
            </w:pPr>
            <w:r w:rsidRPr="00E1500B">
              <w:rPr>
                <w:rFonts w:asciiTheme="minorEastAsia" w:hAnsiTheme="minorEastAsia" w:cs="Arial" w:hint="eastAsia"/>
                <w:kern w:val="0"/>
                <w:sz w:val="24"/>
              </w:rPr>
              <w:t>语文、英语</w:t>
            </w:r>
          </w:p>
          <w:p w:rsidR="00A662AA" w:rsidRPr="00E1500B" w:rsidRDefault="00A662AA" w:rsidP="005929AA">
            <w:pPr>
              <w:spacing w:line="360" w:lineRule="auto"/>
              <w:rPr>
                <w:rFonts w:asciiTheme="minorEastAsia" w:hAnsiTheme="minorEastAsia"/>
                <w:sz w:val="24"/>
              </w:rPr>
            </w:pPr>
            <w:r w:rsidRPr="00E1500B">
              <w:rPr>
                <w:rFonts w:asciiTheme="minorEastAsia" w:hAnsiTheme="minorEastAsia" w:cs="Arial" w:hint="eastAsia"/>
                <w:kern w:val="0"/>
                <w:sz w:val="24"/>
              </w:rPr>
              <w:t>数学（文）</w:t>
            </w:r>
          </w:p>
        </w:tc>
        <w:tc>
          <w:tcPr>
            <w:tcW w:w="1232" w:type="dxa"/>
            <w:vMerge w:val="restart"/>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2700</w:t>
            </w:r>
          </w:p>
        </w:tc>
        <w:tc>
          <w:tcPr>
            <w:tcW w:w="1276" w:type="dxa"/>
            <w:vMerge w:val="restart"/>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cs="Arial" w:hint="eastAsia"/>
                <w:kern w:val="0"/>
                <w:sz w:val="24"/>
              </w:rPr>
              <w:t>业余或函授</w:t>
            </w: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2</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国际商务</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3</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工商企业管理</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4</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市场营销</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5</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电子商务</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6</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物流管理</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7</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旅游管理</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8</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应用英语</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9</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机电一体化技术</w:t>
            </w:r>
          </w:p>
        </w:tc>
        <w:tc>
          <w:tcPr>
            <w:tcW w:w="1058" w:type="dxa"/>
            <w:vMerge w:val="restart"/>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cs="Arial" w:hint="eastAsia"/>
                <w:kern w:val="0"/>
                <w:sz w:val="24"/>
              </w:rPr>
              <w:t>理科类</w:t>
            </w:r>
          </w:p>
        </w:tc>
        <w:tc>
          <w:tcPr>
            <w:tcW w:w="1420" w:type="dxa"/>
            <w:vMerge w:val="restart"/>
            <w:vAlign w:val="center"/>
          </w:tcPr>
          <w:p w:rsidR="00A662AA" w:rsidRPr="00E1500B" w:rsidRDefault="00A662AA" w:rsidP="005929AA">
            <w:pPr>
              <w:spacing w:line="360" w:lineRule="auto"/>
              <w:rPr>
                <w:rFonts w:asciiTheme="minorEastAsia" w:hAnsiTheme="minorEastAsia" w:cs="Arial"/>
                <w:kern w:val="0"/>
                <w:sz w:val="24"/>
              </w:rPr>
            </w:pPr>
            <w:r w:rsidRPr="00E1500B">
              <w:rPr>
                <w:rFonts w:asciiTheme="minorEastAsia" w:hAnsiTheme="minorEastAsia" w:cs="Arial" w:hint="eastAsia"/>
                <w:kern w:val="0"/>
                <w:sz w:val="24"/>
              </w:rPr>
              <w:t>语文、英语</w:t>
            </w:r>
          </w:p>
          <w:p w:rsidR="00A662AA" w:rsidRPr="00E1500B" w:rsidRDefault="00A662AA" w:rsidP="005929AA">
            <w:pPr>
              <w:spacing w:line="360" w:lineRule="auto"/>
              <w:rPr>
                <w:rFonts w:asciiTheme="minorEastAsia" w:hAnsiTheme="minorEastAsia"/>
                <w:sz w:val="24"/>
              </w:rPr>
            </w:pPr>
            <w:r w:rsidRPr="00E1500B">
              <w:rPr>
                <w:rFonts w:asciiTheme="minorEastAsia" w:hAnsiTheme="minorEastAsia" w:cs="Arial" w:hint="eastAsia"/>
                <w:kern w:val="0"/>
                <w:sz w:val="24"/>
              </w:rPr>
              <w:t>数学（理）</w:t>
            </w:r>
          </w:p>
        </w:tc>
        <w:tc>
          <w:tcPr>
            <w:tcW w:w="1232" w:type="dxa"/>
            <w:vMerge w:val="restart"/>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3000</w:t>
            </w: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10</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计算机应用技术</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11</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建筑工程技术</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12</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工程造价</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13</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模具设计与制造</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14</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电气自动化技术</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15</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汽车检测与维修技术</w:t>
            </w:r>
          </w:p>
        </w:tc>
        <w:tc>
          <w:tcPr>
            <w:tcW w:w="1058" w:type="dxa"/>
            <w:vMerge/>
            <w:vAlign w:val="center"/>
          </w:tcPr>
          <w:p w:rsidR="00A662AA" w:rsidRPr="00E1500B" w:rsidRDefault="00A662AA" w:rsidP="005929AA">
            <w:pPr>
              <w:spacing w:line="360" w:lineRule="auto"/>
              <w:jc w:val="center"/>
              <w:rPr>
                <w:rFonts w:asciiTheme="minorEastAsia" w:hAnsiTheme="minorEastAsia"/>
                <w:sz w:val="24"/>
              </w:rPr>
            </w:pPr>
          </w:p>
        </w:tc>
        <w:tc>
          <w:tcPr>
            <w:tcW w:w="1420" w:type="dxa"/>
            <w:vMerge/>
            <w:vAlign w:val="center"/>
          </w:tcPr>
          <w:p w:rsidR="00A662AA" w:rsidRPr="00E1500B" w:rsidRDefault="00A662AA" w:rsidP="005929AA">
            <w:pPr>
              <w:spacing w:line="360" w:lineRule="auto"/>
              <w:jc w:val="center"/>
              <w:rPr>
                <w:rFonts w:asciiTheme="minorEastAsia" w:hAnsiTheme="minorEastAsia"/>
                <w:sz w:val="24"/>
              </w:rPr>
            </w:pPr>
          </w:p>
        </w:tc>
        <w:tc>
          <w:tcPr>
            <w:tcW w:w="1232" w:type="dxa"/>
            <w:vMerge/>
            <w:vAlign w:val="center"/>
          </w:tcPr>
          <w:p w:rsidR="00A662AA" w:rsidRPr="00E1500B" w:rsidRDefault="00A662AA" w:rsidP="005929AA">
            <w:pPr>
              <w:spacing w:line="360" w:lineRule="auto"/>
              <w:jc w:val="center"/>
              <w:rPr>
                <w:rFonts w:asciiTheme="minorEastAsia" w:hAnsiTheme="minorEastAsia"/>
                <w:sz w:val="24"/>
              </w:rPr>
            </w:pP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16</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广告设计与制作</w:t>
            </w:r>
          </w:p>
        </w:tc>
        <w:tc>
          <w:tcPr>
            <w:tcW w:w="1058" w:type="dxa"/>
            <w:vMerge w:val="restart"/>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cs="Arial" w:hint="eastAsia"/>
                <w:kern w:val="0"/>
                <w:sz w:val="24"/>
              </w:rPr>
              <w:t>艺术类</w:t>
            </w:r>
          </w:p>
        </w:tc>
        <w:tc>
          <w:tcPr>
            <w:tcW w:w="1420" w:type="dxa"/>
            <w:vMerge w:val="restart"/>
            <w:vAlign w:val="center"/>
          </w:tcPr>
          <w:p w:rsidR="00A662AA" w:rsidRPr="00E1500B" w:rsidRDefault="00A662AA" w:rsidP="005929AA">
            <w:pPr>
              <w:spacing w:line="360" w:lineRule="auto"/>
              <w:jc w:val="left"/>
              <w:rPr>
                <w:rFonts w:asciiTheme="minorEastAsia" w:hAnsiTheme="minorEastAsia" w:cs="Arial"/>
                <w:kern w:val="0"/>
                <w:sz w:val="24"/>
              </w:rPr>
            </w:pPr>
            <w:r w:rsidRPr="00E1500B">
              <w:rPr>
                <w:rFonts w:asciiTheme="minorEastAsia" w:hAnsiTheme="minorEastAsia" w:cs="Arial" w:hint="eastAsia"/>
                <w:kern w:val="0"/>
                <w:sz w:val="24"/>
              </w:rPr>
              <w:t>语文、英语</w:t>
            </w:r>
          </w:p>
          <w:p w:rsidR="00A662AA" w:rsidRPr="00E1500B" w:rsidRDefault="00A662AA" w:rsidP="005929AA">
            <w:pPr>
              <w:spacing w:line="360" w:lineRule="auto"/>
              <w:rPr>
                <w:rFonts w:asciiTheme="minorEastAsia" w:hAnsiTheme="minorEastAsia"/>
                <w:sz w:val="24"/>
              </w:rPr>
            </w:pPr>
            <w:r w:rsidRPr="00E1500B">
              <w:rPr>
                <w:rFonts w:asciiTheme="minorEastAsia" w:hAnsiTheme="minorEastAsia" w:cs="Arial" w:hint="eastAsia"/>
                <w:kern w:val="0"/>
                <w:sz w:val="24"/>
              </w:rPr>
              <w:t>数学（文）</w:t>
            </w:r>
          </w:p>
        </w:tc>
        <w:tc>
          <w:tcPr>
            <w:tcW w:w="1232" w:type="dxa"/>
            <w:vMerge w:val="restart"/>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4000</w:t>
            </w:r>
          </w:p>
        </w:tc>
        <w:tc>
          <w:tcPr>
            <w:tcW w:w="1276" w:type="dxa"/>
            <w:vMerge/>
            <w:vAlign w:val="center"/>
          </w:tcPr>
          <w:p w:rsidR="00A662AA" w:rsidRPr="00E1500B" w:rsidRDefault="00A662AA" w:rsidP="005929AA">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17</w:t>
            </w:r>
          </w:p>
        </w:tc>
        <w:tc>
          <w:tcPr>
            <w:tcW w:w="2410" w:type="dxa"/>
            <w:vAlign w:val="center"/>
          </w:tcPr>
          <w:p w:rsidR="00A662AA" w:rsidRPr="00E1500B" w:rsidRDefault="00A662AA" w:rsidP="005929AA">
            <w:pPr>
              <w:widowControl/>
              <w:spacing w:line="360" w:lineRule="auto"/>
              <w:jc w:val="center"/>
              <w:rPr>
                <w:rFonts w:asciiTheme="minorEastAsia" w:hAnsiTheme="minorEastAsia" w:cs="Arial"/>
                <w:kern w:val="0"/>
                <w:sz w:val="24"/>
              </w:rPr>
            </w:pPr>
            <w:r w:rsidRPr="00E1500B">
              <w:rPr>
                <w:rFonts w:asciiTheme="minorEastAsia" w:hAnsiTheme="minorEastAsia" w:cs="Arial"/>
                <w:kern w:val="0"/>
                <w:sz w:val="24"/>
              </w:rPr>
              <w:t>环境艺术设计</w:t>
            </w:r>
          </w:p>
        </w:tc>
        <w:tc>
          <w:tcPr>
            <w:tcW w:w="1058" w:type="dxa"/>
            <w:vMerge/>
            <w:vAlign w:val="center"/>
          </w:tcPr>
          <w:p w:rsidR="00A662AA" w:rsidRPr="00E1500B" w:rsidRDefault="00A662AA" w:rsidP="005929AA">
            <w:pPr>
              <w:spacing w:line="360" w:lineRule="auto"/>
              <w:rPr>
                <w:rFonts w:asciiTheme="minorEastAsia" w:hAnsiTheme="minorEastAsia"/>
                <w:sz w:val="24"/>
              </w:rPr>
            </w:pPr>
          </w:p>
        </w:tc>
        <w:tc>
          <w:tcPr>
            <w:tcW w:w="1420" w:type="dxa"/>
            <w:vMerge/>
            <w:vAlign w:val="center"/>
          </w:tcPr>
          <w:p w:rsidR="00A662AA" w:rsidRPr="00E1500B" w:rsidRDefault="00A662AA" w:rsidP="005929AA">
            <w:pPr>
              <w:spacing w:line="360" w:lineRule="auto"/>
              <w:rPr>
                <w:rFonts w:asciiTheme="minorEastAsia" w:hAnsiTheme="minorEastAsia"/>
                <w:sz w:val="24"/>
              </w:rPr>
            </w:pPr>
          </w:p>
        </w:tc>
        <w:tc>
          <w:tcPr>
            <w:tcW w:w="1232" w:type="dxa"/>
            <w:vMerge/>
            <w:vAlign w:val="center"/>
          </w:tcPr>
          <w:p w:rsidR="00A662AA" w:rsidRPr="00E1500B" w:rsidRDefault="00A662AA" w:rsidP="005929AA">
            <w:pPr>
              <w:spacing w:line="360" w:lineRule="auto"/>
              <w:rPr>
                <w:rFonts w:asciiTheme="minorEastAsia" w:hAnsiTheme="minorEastAsia"/>
                <w:sz w:val="24"/>
              </w:rPr>
            </w:pPr>
          </w:p>
        </w:tc>
        <w:tc>
          <w:tcPr>
            <w:tcW w:w="1276" w:type="dxa"/>
            <w:vMerge/>
            <w:vAlign w:val="center"/>
          </w:tcPr>
          <w:p w:rsidR="00A662AA" w:rsidRPr="00E1500B" w:rsidRDefault="00A662AA" w:rsidP="005929AA">
            <w:pPr>
              <w:spacing w:line="360" w:lineRule="auto"/>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5929AA">
            <w:pPr>
              <w:spacing w:line="360" w:lineRule="auto"/>
              <w:jc w:val="center"/>
              <w:rPr>
                <w:rFonts w:asciiTheme="minorEastAsia" w:hAnsiTheme="minorEastAsia"/>
                <w:sz w:val="24"/>
              </w:rPr>
            </w:pPr>
            <w:r w:rsidRPr="00E1500B">
              <w:rPr>
                <w:rFonts w:asciiTheme="minorEastAsia" w:hAnsiTheme="minorEastAsia" w:hint="eastAsia"/>
                <w:sz w:val="24"/>
              </w:rPr>
              <w:t>备注</w:t>
            </w:r>
          </w:p>
        </w:tc>
        <w:tc>
          <w:tcPr>
            <w:tcW w:w="7396" w:type="dxa"/>
            <w:gridSpan w:val="5"/>
            <w:vAlign w:val="center"/>
          </w:tcPr>
          <w:p w:rsidR="00A662AA" w:rsidRPr="00F3600B" w:rsidRDefault="004E72A2" w:rsidP="005929AA">
            <w:pPr>
              <w:spacing w:line="360" w:lineRule="auto"/>
              <w:rPr>
                <w:rFonts w:asciiTheme="minorEastAsia" w:hAnsiTheme="minorEastAsia" w:cs="宋体"/>
                <w:kern w:val="0"/>
                <w:sz w:val="24"/>
              </w:rPr>
            </w:pPr>
            <w:r>
              <w:rPr>
                <w:rFonts w:asciiTheme="minorEastAsia" w:hAnsiTheme="minorEastAsia" w:cs="Arial" w:hint="eastAsia"/>
                <w:kern w:val="0"/>
                <w:sz w:val="24"/>
              </w:rPr>
              <w:t>最终</w:t>
            </w:r>
            <w:r w:rsidR="00A662AA" w:rsidRPr="00E1500B">
              <w:rPr>
                <w:rFonts w:asciiTheme="minorEastAsia" w:hAnsiTheme="minorEastAsia" w:cs="Arial" w:hint="eastAsia"/>
                <w:kern w:val="0"/>
                <w:sz w:val="24"/>
              </w:rPr>
              <w:t>以浙江省教育考试</w:t>
            </w:r>
            <w:proofErr w:type="gramStart"/>
            <w:r w:rsidR="00A662AA" w:rsidRPr="00E1500B">
              <w:rPr>
                <w:rFonts w:asciiTheme="minorEastAsia" w:hAnsiTheme="minorEastAsia" w:cs="Arial" w:hint="eastAsia"/>
                <w:kern w:val="0"/>
                <w:sz w:val="24"/>
              </w:rPr>
              <w:t>院公布</w:t>
            </w:r>
            <w:proofErr w:type="gramEnd"/>
            <w:r w:rsidR="00A662AA" w:rsidRPr="00E1500B">
              <w:rPr>
                <w:rFonts w:asciiTheme="minorEastAsia" w:hAnsiTheme="minorEastAsia" w:cs="Arial" w:hint="eastAsia"/>
                <w:kern w:val="0"/>
                <w:sz w:val="24"/>
              </w:rPr>
              <w:t>为准。</w:t>
            </w:r>
          </w:p>
        </w:tc>
      </w:tr>
    </w:tbl>
    <w:p w:rsidR="00F3600B" w:rsidRDefault="00F3600B" w:rsidP="005929AA">
      <w:pPr>
        <w:pStyle w:val="a5"/>
        <w:shd w:val="clear" w:color="auto" w:fill="FFFFFF"/>
        <w:spacing w:before="0" w:beforeAutospacing="0" w:after="0" w:afterAutospacing="0" w:line="360" w:lineRule="auto"/>
        <w:jc w:val="center"/>
        <w:rPr>
          <w:rFonts w:ascii="微软雅黑" w:eastAsia="微软雅黑" w:hAnsi="微软雅黑"/>
          <w:color w:val="000000"/>
        </w:rPr>
      </w:pPr>
      <w:r>
        <w:rPr>
          <w:rStyle w:val="a6"/>
          <w:rFonts w:hint="eastAsia"/>
          <w:color w:val="000000"/>
          <w:sz w:val="30"/>
          <w:szCs w:val="30"/>
        </w:rPr>
        <w:t>第三章  录取原则</w:t>
      </w:r>
    </w:p>
    <w:p w:rsidR="00F3600B" w:rsidRDefault="00F3600B" w:rsidP="005929AA">
      <w:pPr>
        <w:spacing w:line="360" w:lineRule="auto"/>
        <w:ind w:firstLineChars="200" w:firstLine="480"/>
        <w:rPr>
          <w:rFonts w:ascii="宋体" w:hAnsi="宋体"/>
          <w:sz w:val="24"/>
        </w:rPr>
      </w:pPr>
      <w:r>
        <w:rPr>
          <w:rFonts w:ascii="宋体" w:hAnsi="宋体" w:hint="eastAsia"/>
          <w:sz w:val="24"/>
        </w:rPr>
        <w:t>1、实行“学校负责、省教育考试院监督”的录取体制。成人高等教育招生录取工作严格遵守教育部、浙江省教育厅、浙江省教育考试院的有关政策规定，积极组织实施高校招生“阳光工程”。</w:t>
      </w:r>
      <w:r w:rsidRPr="005B0B3C">
        <w:rPr>
          <w:rFonts w:ascii="宋体" w:hAnsi="宋体" w:hint="eastAsia"/>
          <w:sz w:val="24"/>
        </w:rPr>
        <w:t>遵循“公平竞争、公正选拔、公开透明、综合评价、择优录取”的原则</w:t>
      </w:r>
      <w:r>
        <w:rPr>
          <w:rFonts w:ascii="宋体" w:hAnsi="宋体" w:hint="eastAsia"/>
          <w:sz w:val="24"/>
        </w:rPr>
        <w:t>,</w:t>
      </w:r>
      <w:r w:rsidRPr="00974AB2">
        <w:rPr>
          <w:rFonts w:ascii="宋体" w:hAnsi="宋体" w:hint="eastAsia"/>
          <w:sz w:val="24"/>
        </w:rPr>
        <w:t>并依照浙江省教育考试院所确定的最低录取控制分数线，按考生志愿和招生计划，分专业从高分到低分择优录取。</w:t>
      </w:r>
    </w:p>
    <w:p w:rsidR="005929AA" w:rsidRDefault="00F3600B" w:rsidP="005929AA">
      <w:pPr>
        <w:spacing w:line="360" w:lineRule="auto"/>
        <w:ind w:firstLineChars="200" w:firstLine="480"/>
        <w:rPr>
          <w:rFonts w:ascii="宋体" w:hAnsi="宋体"/>
          <w:sz w:val="24"/>
        </w:rPr>
      </w:pPr>
      <w:r w:rsidRPr="005929AA">
        <w:rPr>
          <w:rFonts w:ascii="宋体" w:hAnsi="宋体" w:hint="eastAsia"/>
          <w:sz w:val="24"/>
        </w:rPr>
        <w:lastRenderedPageBreak/>
        <w:t>2、</w:t>
      </w:r>
      <w:r w:rsidR="005929AA" w:rsidRPr="005929AA">
        <w:rPr>
          <w:rFonts w:ascii="宋体" w:hAnsi="宋体"/>
          <w:sz w:val="24"/>
        </w:rPr>
        <w:t>加分政策见</w:t>
      </w:r>
      <w:r w:rsidR="005929AA" w:rsidRPr="005929AA">
        <w:rPr>
          <w:rFonts w:ascii="宋体" w:hAnsi="宋体" w:hint="eastAsia"/>
          <w:sz w:val="24"/>
        </w:rPr>
        <w:t>《</w:t>
      </w:r>
      <w:r w:rsidR="005929AA" w:rsidRPr="005929AA">
        <w:rPr>
          <w:rFonts w:ascii="宋体" w:hAnsi="宋体"/>
          <w:sz w:val="24"/>
        </w:rPr>
        <w:t>浙江省成人高校招生工作实施意见</w:t>
      </w:r>
      <w:r w:rsidR="005929AA" w:rsidRPr="005929AA">
        <w:rPr>
          <w:rFonts w:ascii="宋体" w:hAnsi="宋体" w:hint="eastAsia"/>
          <w:sz w:val="24"/>
        </w:rPr>
        <w:t>》</w:t>
      </w:r>
      <w:r w:rsidR="005929AA" w:rsidRPr="005929AA">
        <w:rPr>
          <w:rFonts w:ascii="宋体" w:hAnsi="宋体"/>
          <w:sz w:val="24"/>
        </w:rPr>
        <w:t>。</w:t>
      </w:r>
    </w:p>
    <w:p w:rsidR="00F3600B" w:rsidRPr="005B0B3C" w:rsidRDefault="005929AA" w:rsidP="005929AA">
      <w:pPr>
        <w:pStyle w:val="a5"/>
        <w:spacing w:before="0" w:beforeAutospacing="0" w:after="0" w:afterAutospacing="0" w:line="360" w:lineRule="auto"/>
        <w:ind w:firstLine="480"/>
        <w:rPr>
          <w:rFonts w:eastAsiaTheme="minorEastAsia" w:cstheme="minorBidi"/>
          <w:kern w:val="2"/>
          <w:szCs w:val="22"/>
        </w:rPr>
      </w:pPr>
      <w:r>
        <w:rPr>
          <w:rFonts w:eastAsiaTheme="minorEastAsia" w:cstheme="minorBidi" w:hint="eastAsia"/>
          <w:kern w:val="2"/>
          <w:szCs w:val="22"/>
        </w:rPr>
        <w:t>3、</w:t>
      </w:r>
      <w:r w:rsidR="00F3600B" w:rsidRPr="005B0B3C">
        <w:rPr>
          <w:rFonts w:eastAsiaTheme="minorEastAsia" w:cstheme="minorBidi" w:hint="eastAsia"/>
          <w:kern w:val="2"/>
          <w:szCs w:val="22"/>
        </w:rPr>
        <w:t>在招生计划许可的情况下，各专业招生人数可视成人高考上分数线人数和学校办学资源而定。</w:t>
      </w:r>
    </w:p>
    <w:p w:rsidR="00F3600B" w:rsidRDefault="005929AA" w:rsidP="005929AA">
      <w:pPr>
        <w:spacing w:line="360" w:lineRule="auto"/>
        <w:ind w:firstLineChars="200" w:firstLine="480"/>
        <w:rPr>
          <w:rFonts w:ascii="宋体" w:hAnsi="宋体"/>
          <w:sz w:val="24"/>
        </w:rPr>
      </w:pPr>
      <w:r>
        <w:rPr>
          <w:rFonts w:ascii="宋体" w:hAnsi="宋体" w:hint="eastAsia"/>
          <w:sz w:val="24"/>
        </w:rPr>
        <w:t>4</w:t>
      </w:r>
      <w:r w:rsidR="00F3600B" w:rsidRPr="00AF168E">
        <w:rPr>
          <w:rFonts w:ascii="宋体" w:hAnsi="宋体" w:hint="eastAsia"/>
          <w:sz w:val="24"/>
        </w:rPr>
        <w:t>、男</w:t>
      </w:r>
      <w:r w:rsidR="00F3600B">
        <w:rPr>
          <w:rFonts w:ascii="宋体" w:hAnsi="宋体" w:hint="eastAsia"/>
          <w:sz w:val="24"/>
        </w:rPr>
        <w:t>女比例：录取到我校所有专业的考生均无男女生比例要求。</w:t>
      </w:r>
    </w:p>
    <w:p w:rsidR="00F3600B" w:rsidRPr="006825AC" w:rsidRDefault="00F3600B" w:rsidP="005929AA">
      <w:pPr>
        <w:pStyle w:val="a5"/>
        <w:shd w:val="clear" w:color="auto" w:fill="FFFFFF"/>
        <w:spacing w:before="0" w:beforeAutospacing="0" w:after="0" w:afterAutospacing="0" w:line="360" w:lineRule="auto"/>
        <w:jc w:val="center"/>
        <w:rPr>
          <w:rStyle w:val="a6"/>
          <w:color w:val="000000"/>
          <w:sz w:val="30"/>
          <w:szCs w:val="30"/>
        </w:rPr>
      </w:pPr>
      <w:r w:rsidRPr="006825AC">
        <w:rPr>
          <w:rStyle w:val="a6"/>
          <w:rFonts w:hint="eastAsia"/>
          <w:color w:val="000000"/>
          <w:sz w:val="30"/>
          <w:szCs w:val="30"/>
        </w:rPr>
        <w:t>第四章</w:t>
      </w:r>
      <w:r>
        <w:rPr>
          <w:rStyle w:val="a6"/>
          <w:rFonts w:hint="eastAsia"/>
          <w:color w:val="000000"/>
          <w:sz w:val="30"/>
          <w:szCs w:val="30"/>
        </w:rPr>
        <w:t xml:space="preserve">  学</w:t>
      </w:r>
      <w:r w:rsidRPr="006825AC">
        <w:rPr>
          <w:rStyle w:val="a6"/>
          <w:rFonts w:hint="eastAsia"/>
          <w:color w:val="000000"/>
          <w:sz w:val="30"/>
          <w:szCs w:val="30"/>
        </w:rPr>
        <w:t>费与证书</w:t>
      </w:r>
    </w:p>
    <w:p w:rsidR="00F3600B" w:rsidRPr="00974AB2" w:rsidRDefault="00F3600B" w:rsidP="005929AA">
      <w:pPr>
        <w:spacing w:line="360" w:lineRule="auto"/>
        <w:ind w:firstLineChars="200" w:firstLine="480"/>
        <w:rPr>
          <w:rFonts w:ascii="宋体" w:hAnsi="宋体"/>
          <w:sz w:val="24"/>
        </w:rPr>
      </w:pPr>
      <w:r>
        <w:rPr>
          <w:rFonts w:ascii="宋体" w:hAnsi="宋体" w:hint="eastAsia"/>
          <w:sz w:val="24"/>
        </w:rPr>
        <w:t>1、</w:t>
      </w:r>
      <w:r w:rsidRPr="00E1500B">
        <w:rPr>
          <w:rFonts w:asciiTheme="minorEastAsia" w:hAnsiTheme="minorEastAsia" w:cs="Arial" w:hint="eastAsia"/>
          <w:kern w:val="0"/>
          <w:sz w:val="24"/>
        </w:rPr>
        <w:t>学费严格按</w:t>
      </w:r>
      <w:r>
        <w:rPr>
          <w:rFonts w:asciiTheme="minorEastAsia" w:hAnsiTheme="minorEastAsia" w:cs="Arial" w:hint="eastAsia"/>
          <w:kern w:val="0"/>
          <w:sz w:val="24"/>
        </w:rPr>
        <w:t>照</w:t>
      </w:r>
      <w:r>
        <w:rPr>
          <w:rFonts w:ascii="宋体" w:hAnsi="宋体" w:hint="eastAsia"/>
          <w:sz w:val="24"/>
        </w:rPr>
        <w:t>《浙江省物价局 浙江省财政厅 浙江省教育厅关于调整成人高等教育收费标准的通知》（浙价费[2014]245号）的规定和要求执行。</w:t>
      </w:r>
    </w:p>
    <w:p w:rsidR="00F3600B" w:rsidRDefault="00F3600B" w:rsidP="005929AA">
      <w:pPr>
        <w:spacing w:line="360" w:lineRule="auto"/>
        <w:ind w:firstLineChars="200" w:firstLine="480"/>
        <w:rPr>
          <w:rFonts w:ascii="宋体" w:hAnsi="宋体"/>
          <w:sz w:val="24"/>
        </w:rPr>
      </w:pPr>
      <w:r>
        <w:rPr>
          <w:rFonts w:ascii="宋体" w:hAnsi="宋体" w:hint="eastAsia"/>
          <w:sz w:val="24"/>
        </w:rPr>
        <w:t>2、</w:t>
      </w:r>
      <w:r>
        <w:rPr>
          <w:rFonts w:ascii="宋体" w:hAnsi="宋体"/>
          <w:sz w:val="24"/>
        </w:rPr>
        <w:t>新生入学注册后，学校依据《</w:t>
      </w:r>
      <w:r>
        <w:rPr>
          <w:rFonts w:ascii="宋体" w:hAnsi="宋体" w:hint="eastAsia"/>
          <w:sz w:val="24"/>
        </w:rPr>
        <w:t>浙江工商职业技术学院学籍</w:t>
      </w:r>
      <w:r>
        <w:rPr>
          <w:rFonts w:ascii="宋体" w:hAnsi="宋体"/>
          <w:sz w:val="24"/>
        </w:rPr>
        <w:t>管理规定》进行管理，按</w:t>
      </w:r>
      <w:r>
        <w:rPr>
          <w:rFonts w:ascii="宋体" w:hAnsi="宋体" w:hint="eastAsia"/>
          <w:sz w:val="24"/>
        </w:rPr>
        <w:t>专业人才培养方案和</w:t>
      </w:r>
      <w:r>
        <w:rPr>
          <w:rFonts w:ascii="宋体" w:hAnsi="宋体"/>
          <w:sz w:val="24"/>
        </w:rPr>
        <w:t>教学计划对学生进行培养</w:t>
      </w:r>
      <w:r>
        <w:rPr>
          <w:rFonts w:ascii="宋体" w:hAnsi="宋体" w:hint="eastAsia"/>
          <w:sz w:val="24"/>
        </w:rPr>
        <w:t>，毕业后颁发由国家教育部统一电子注册的浙江工商职业技术学院印鉴的成人高等教育专科毕业证书。</w:t>
      </w:r>
    </w:p>
    <w:p w:rsidR="00F3600B" w:rsidRPr="006825AC" w:rsidRDefault="00F3600B" w:rsidP="005929AA">
      <w:pPr>
        <w:pStyle w:val="a5"/>
        <w:shd w:val="clear" w:color="auto" w:fill="FFFFFF"/>
        <w:spacing w:before="0" w:beforeAutospacing="0" w:after="0" w:afterAutospacing="0" w:line="360" w:lineRule="auto"/>
        <w:jc w:val="center"/>
        <w:rPr>
          <w:rStyle w:val="a6"/>
          <w:color w:val="000000"/>
          <w:sz w:val="30"/>
          <w:szCs w:val="30"/>
        </w:rPr>
      </w:pPr>
      <w:r w:rsidRPr="006825AC">
        <w:rPr>
          <w:rStyle w:val="a6"/>
          <w:rFonts w:hint="eastAsia"/>
          <w:color w:val="000000"/>
          <w:sz w:val="30"/>
          <w:szCs w:val="30"/>
        </w:rPr>
        <w:t>第五章</w:t>
      </w:r>
      <w:r w:rsidR="005929AA">
        <w:rPr>
          <w:rStyle w:val="a6"/>
          <w:rFonts w:hint="eastAsia"/>
          <w:color w:val="000000"/>
          <w:sz w:val="30"/>
          <w:szCs w:val="30"/>
        </w:rPr>
        <w:t xml:space="preserve">  </w:t>
      </w:r>
      <w:r w:rsidRPr="006825AC">
        <w:rPr>
          <w:rStyle w:val="a6"/>
          <w:rFonts w:hint="eastAsia"/>
          <w:color w:val="000000"/>
          <w:sz w:val="30"/>
          <w:szCs w:val="30"/>
        </w:rPr>
        <w:t>其他</w:t>
      </w:r>
    </w:p>
    <w:p w:rsidR="00F3600B" w:rsidRDefault="00F3600B" w:rsidP="005929AA">
      <w:pPr>
        <w:spacing w:line="360" w:lineRule="auto"/>
        <w:ind w:firstLineChars="200" w:firstLine="480"/>
        <w:rPr>
          <w:rFonts w:ascii="宋体" w:hAnsi="宋体"/>
          <w:sz w:val="24"/>
        </w:rPr>
      </w:pPr>
      <w:r>
        <w:rPr>
          <w:rFonts w:ascii="宋体" w:hAnsi="宋体" w:hint="eastAsia"/>
          <w:sz w:val="24"/>
        </w:rPr>
        <w:t>被本校录取的新生，必须按规定准时到学校本部或各教学站点办理入学手续，逾期不报到又无正当理由者，则取消其入学资格。</w:t>
      </w:r>
    </w:p>
    <w:p w:rsidR="00F3600B" w:rsidRPr="00520383" w:rsidRDefault="00F3600B" w:rsidP="005929AA">
      <w:pPr>
        <w:spacing w:line="360" w:lineRule="auto"/>
        <w:jc w:val="center"/>
        <w:rPr>
          <w:rStyle w:val="a6"/>
          <w:rFonts w:ascii="宋体" w:eastAsia="宋体" w:hAnsi="宋体" w:cs="宋体"/>
          <w:color w:val="000000"/>
          <w:kern w:val="0"/>
          <w:sz w:val="30"/>
          <w:szCs w:val="30"/>
        </w:rPr>
      </w:pPr>
      <w:r w:rsidRPr="00520383">
        <w:rPr>
          <w:rStyle w:val="a6"/>
          <w:rFonts w:ascii="宋体" w:eastAsia="宋体" w:hAnsi="宋体" w:cs="宋体" w:hint="eastAsia"/>
          <w:color w:val="000000"/>
          <w:kern w:val="0"/>
          <w:sz w:val="30"/>
          <w:szCs w:val="30"/>
        </w:rPr>
        <w:t>第六章</w:t>
      </w:r>
      <w:r w:rsidR="005929AA">
        <w:rPr>
          <w:rStyle w:val="a6"/>
          <w:rFonts w:ascii="宋体" w:eastAsia="宋体" w:hAnsi="宋体" w:cs="宋体" w:hint="eastAsia"/>
          <w:color w:val="000000"/>
          <w:kern w:val="0"/>
          <w:sz w:val="30"/>
          <w:szCs w:val="30"/>
        </w:rPr>
        <w:t xml:space="preserve">  </w:t>
      </w:r>
      <w:r w:rsidRPr="00520383">
        <w:rPr>
          <w:rStyle w:val="a6"/>
          <w:rFonts w:ascii="宋体" w:eastAsia="宋体" w:hAnsi="宋体" w:cs="宋体" w:hint="eastAsia"/>
          <w:color w:val="000000"/>
          <w:kern w:val="0"/>
          <w:sz w:val="30"/>
          <w:szCs w:val="30"/>
        </w:rPr>
        <w:t>附则</w:t>
      </w:r>
    </w:p>
    <w:p w:rsidR="00F3600B" w:rsidRDefault="00F3600B" w:rsidP="005929AA">
      <w:pPr>
        <w:spacing w:line="360" w:lineRule="auto"/>
        <w:ind w:firstLineChars="200" w:firstLine="480"/>
        <w:rPr>
          <w:rFonts w:ascii="宋体" w:hAnsi="宋体"/>
          <w:sz w:val="24"/>
        </w:rPr>
      </w:pPr>
      <w:r>
        <w:rPr>
          <w:rFonts w:ascii="宋体" w:hAnsi="宋体" w:hint="eastAsia"/>
          <w:sz w:val="24"/>
        </w:rPr>
        <w:t>本章程由浙江工商职业技术学院继续教育学院负责解释。</w:t>
      </w:r>
    </w:p>
    <w:p w:rsidR="00F3600B" w:rsidRPr="005B0B3C" w:rsidRDefault="00F3600B" w:rsidP="005929AA">
      <w:pPr>
        <w:pStyle w:val="a5"/>
        <w:shd w:val="clear" w:color="auto" w:fill="FFFFFF"/>
        <w:spacing w:before="0" w:beforeAutospacing="0" w:after="0" w:afterAutospacing="0" w:line="360" w:lineRule="auto"/>
        <w:ind w:firstLineChars="200" w:firstLine="480"/>
        <w:rPr>
          <w:rFonts w:eastAsiaTheme="minorEastAsia" w:cstheme="minorBidi"/>
          <w:kern w:val="2"/>
          <w:szCs w:val="22"/>
        </w:rPr>
      </w:pPr>
      <w:r w:rsidRPr="005B0B3C">
        <w:rPr>
          <w:rFonts w:eastAsiaTheme="minorEastAsia" w:cstheme="minorBidi" w:hint="eastAsia"/>
          <w:kern w:val="2"/>
          <w:szCs w:val="22"/>
        </w:rPr>
        <w:t>联系地址：浙江省宁波市机场路1988号，浙江工商职业技术学院中和楼203室。</w:t>
      </w:r>
    </w:p>
    <w:p w:rsidR="00F3600B" w:rsidRDefault="00F3600B" w:rsidP="005929AA">
      <w:pPr>
        <w:spacing w:line="360" w:lineRule="auto"/>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编：315012</w:t>
      </w:r>
    </w:p>
    <w:p w:rsidR="00F3600B" w:rsidRPr="005B0B3C" w:rsidRDefault="00F3600B" w:rsidP="005929AA">
      <w:pPr>
        <w:spacing w:line="360" w:lineRule="auto"/>
        <w:ind w:firstLineChars="200" w:firstLine="480"/>
        <w:rPr>
          <w:rFonts w:ascii="宋体" w:hAnsi="宋体"/>
          <w:sz w:val="24"/>
        </w:rPr>
      </w:pPr>
      <w:r>
        <w:rPr>
          <w:rFonts w:ascii="宋体" w:hAnsi="宋体" w:hint="eastAsia"/>
          <w:sz w:val="24"/>
        </w:rPr>
        <w:t>联系电话：</w:t>
      </w:r>
      <w:r w:rsidRPr="005B0B3C">
        <w:rPr>
          <w:rFonts w:ascii="宋体" w:hAnsi="宋体" w:hint="eastAsia"/>
          <w:sz w:val="24"/>
        </w:rPr>
        <w:t>0574-87422267</w:t>
      </w:r>
    </w:p>
    <w:p w:rsidR="00F3600B" w:rsidRDefault="00F3600B" w:rsidP="005929AA">
      <w:pPr>
        <w:pStyle w:val="a5"/>
        <w:shd w:val="clear" w:color="auto" w:fill="FFFFFF"/>
        <w:spacing w:before="0" w:beforeAutospacing="0" w:after="0" w:afterAutospacing="0" w:line="360" w:lineRule="auto"/>
        <w:ind w:firstLine="480"/>
        <w:rPr>
          <w:rFonts w:eastAsiaTheme="minorEastAsia" w:cstheme="minorBidi"/>
          <w:kern w:val="2"/>
          <w:szCs w:val="22"/>
        </w:rPr>
      </w:pPr>
      <w:r w:rsidRPr="005B0B3C">
        <w:rPr>
          <w:rFonts w:eastAsiaTheme="minorEastAsia" w:cstheme="minorBidi" w:hint="eastAsia"/>
          <w:kern w:val="2"/>
          <w:szCs w:val="22"/>
        </w:rPr>
        <w:t>传    真：0574-87422303</w:t>
      </w:r>
    </w:p>
    <w:p w:rsidR="008D2D1E" w:rsidRPr="005929AA" w:rsidRDefault="005929AA" w:rsidP="005929AA">
      <w:pPr>
        <w:spacing w:line="360" w:lineRule="auto"/>
        <w:ind w:firstLineChars="200" w:firstLine="480"/>
        <w:rPr>
          <w:rFonts w:ascii="宋体" w:hAnsi="宋体"/>
          <w:sz w:val="24"/>
        </w:rPr>
      </w:pPr>
      <w:r>
        <w:rPr>
          <w:rFonts w:ascii="宋体" w:hAnsi="宋体" w:hint="eastAsia"/>
          <w:sz w:val="24"/>
        </w:rPr>
        <w:t>学校网址：</w:t>
      </w:r>
      <w:r w:rsidRPr="005929AA">
        <w:rPr>
          <w:rStyle w:val="a8"/>
          <w:rFonts w:hint="eastAsia"/>
          <w:color w:val="auto"/>
          <w:u w:val="none"/>
        </w:rPr>
        <w:t>http://</w:t>
      </w:r>
      <w:hyperlink r:id="rId6" w:history="1">
        <w:r w:rsidRPr="005929AA">
          <w:rPr>
            <w:rStyle w:val="a8"/>
            <w:rFonts w:ascii="宋体" w:hAnsi="宋体" w:hint="eastAsia"/>
            <w:color w:val="auto"/>
            <w:sz w:val="24"/>
            <w:u w:val="none"/>
          </w:rPr>
          <w:t>www.zjbti.net.cn</w:t>
        </w:r>
      </w:hyperlink>
    </w:p>
    <w:sectPr w:rsidR="008D2D1E" w:rsidRPr="005929AA" w:rsidSect="008D2D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979" w:rsidRDefault="00821979" w:rsidP="007C7622">
      <w:r>
        <w:separator/>
      </w:r>
    </w:p>
  </w:endnote>
  <w:endnote w:type="continuationSeparator" w:id="0">
    <w:p w:rsidR="00821979" w:rsidRDefault="00821979" w:rsidP="007C7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979" w:rsidRDefault="00821979" w:rsidP="007C7622">
      <w:r>
        <w:separator/>
      </w:r>
    </w:p>
  </w:footnote>
  <w:footnote w:type="continuationSeparator" w:id="0">
    <w:p w:rsidR="00821979" w:rsidRDefault="00821979" w:rsidP="007C7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622"/>
    <w:rsid w:val="00113D91"/>
    <w:rsid w:val="001F78EE"/>
    <w:rsid w:val="00260409"/>
    <w:rsid w:val="002B3CC5"/>
    <w:rsid w:val="002B6625"/>
    <w:rsid w:val="004E1A3A"/>
    <w:rsid w:val="004E72A2"/>
    <w:rsid w:val="00517583"/>
    <w:rsid w:val="005929AA"/>
    <w:rsid w:val="005F0785"/>
    <w:rsid w:val="006B2DE3"/>
    <w:rsid w:val="00765726"/>
    <w:rsid w:val="00780711"/>
    <w:rsid w:val="007C7622"/>
    <w:rsid w:val="00821979"/>
    <w:rsid w:val="008D2D1E"/>
    <w:rsid w:val="00A662AA"/>
    <w:rsid w:val="00A94E13"/>
    <w:rsid w:val="00C43354"/>
    <w:rsid w:val="00DE7D14"/>
    <w:rsid w:val="00F009F5"/>
    <w:rsid w:val="00F36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622"/>
    <w:rPr>
      <w:sz w:val="18"/>
      <w:szCs w:val="18"/>
    </w:rPr>
  </w:style>
  <w:style w:type="paragraph" w:styleId="a4">
    <w:name w:val="footer"/>
    <w:basedOn w:val="a"/>
    <w:link w:val="Char0"/>
    <w:uiPriority w:val="99"/>
    <w:semiHidden/>
    <w:unhideWhenUsed/>
    <w:rsid w:val="007C76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7622"/>
    <w:rPr>
      <w:sz w:val="18"/>
      <w:szCs w:val="18"/>
    </w:rPr>
  </w:style>
  <w:style w:type="paragraph" w:styleId="a5">
    <w:name w:val="Normal (Web)"/>
    <w:basedOn w:val="a"/>
    <w:link w:val="Char1"/>
    <w:unhideWhenUsed/>
    <w:rsid w:val="007C76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7622"/>
    <w:rPr>
      <w:b/>
      <w:bCs/>
    </w:rPr>
  </w:style>
  <w:style w:type="table" w:styleId="a7">
    <w:name w:val="Table Grid"/>
    <w:basedOn w:val="a1"/>
    <w:uiPriority w:val="59"/>
    <w:rsid w:val="00A662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普通(网站) Char"/>
    <w:basedOn w:val="a0"/>
    <w:link w:val="a5"/>
    <w:rsid w:val="00F3600B"/>
    <w:rPr>
      <w:rFonts w:ascii="宋体" w:eastAsia="宋体" w:hAnsi="宋体" w:cs="宋体"/>
      <w:kern w:val="0"/>
      <w:sz w:val="24"/>
      <w:szCs w:val="24"/>
    </w:rPr>
  </w:style>
  <w:style w:type="character" w:styleId="a8">
    <w:name w:val="Hyperlink"/>
    <w:basedOn w:val="a0"/>
    <w:rsid w:val="005929AA"/>
    <w:rPr>
      <w:color w:val="0000FF"/>
      <w:u w:val="single"/>
    </w:rPr>
  </w:style>
</w:styles>
</file>

<file path=word/webSettings.xml><?xml version="1.0" encoding="utf-8"?>
<w:webSettings xmlns:r="http://schemas.openxmlformats.org/officeDocument/2006/relationships" xmlns:w="http://schemas.openxmlformats.org/wordprocessingml/2006/main">
  <w:divs>
    <w:div w:id="114500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ti.net.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6</cp:revision>
  <dcterms:created xsi:type="dcterms:W3CDTF">2018-09-10T05:41:00Z</dcterms:created>
  <dcterms:modified xsi:type="dcterms:W3CDTF">2019-08-16T02:18:00Z</dcterms:modified>
</cp:coreProperties>
</file>