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right"/>
        <w:rPr>
          <w:rFonts w:ascii="微软雅黑" w:hAnsi="微软雅黑" w:eastAsia="微软雅黑" w:cs="微软雅黑"/>
          <w:b/>
          <w:sz w:val="32"/>
          <w:szCs w:val="32"/>
        </w:rPr>
      </w:pPr>
      <w:bookmarkStart w:id="0" w:name="_GoBack"/>
      <w:bookmarkEnd w:id="0"/>
    </w:p>
    <w:p>
      <w:pPr>
        <w:ind w:firstLine="0" w:firstLineChars="0"/>
        <w:jc w:val="center"/>
        <w:rPr>
          <w:rFonts w:ascii="微软雅黑" w:hAnsi="微软雅黑" w:eastAsia="微软雅黑" w:cs="微软雅黑"/>
          <w:sz w:val="32"/>
          <w:szCs w:val="32"/>
        </w:rPr>
      </w:pPr>
      <w:r>
        <w:rPr>
          <w:rFonts w:hint="eastAsia" w:ascii="微软雅黑" w:hAnsi="微软雅黑" w:eastAsia="微软雅黑" w:cs="微软雅黑"/>
          <w:sz w:val="32"/>
          <w:szCs w:val="32"/>
        </w:rPr>
        <w:t>浙大宁波理工学院2023年高等学历继续教育招生章程</w:t>
      </w:r>
    </w:p>
    <w:p>
      <w:pPr>
        <w:ind w:firstLine="0" w:firstLineChars="0"/>
        <w:rPr>
          <w:rFonts w:ascii="微软雅黑" w:hAnsi="微软雅黑" w:eastAsia="微软雅黑" w:cs="微软雅黑"/>
        </w:rPr>
      </w:pPr>
    </w:p>
    <w:p>
      <w:pPr>
        <w:pStyle w:val="12"/>
        <w:ind w:firstLine="0" w:firstLineChars="0"/>
        <w:jc w:val="center"/>
        <w:rPr>
          <w:rFonts w:ascii="微软雅黑" w:hAnsi="微软雅黑" w:eastAsia="微软雅黑" w:cs="微软雅黑"/>
          <w:b/>
          <w:sz w:val="28"/>
          <w:szCs w:val="28"/>
        </w:rPr>
      </w:pPr>
      <w:r>
        <w:rPr>
          <w:rFonts w:hint="eastAsia" w:ascii="微软雅黑" w:hAnsi="微软雅黑" w:eastAsia="微软雅黑" w:cs="微软雅黑"/>
          <w:b/>
          <w:sz w:val="28"/>
          <w:szCs w:val="28"/>
        </w:rPr>
        <w:t>第一章 总则</w:t>
      </w:r>
    </w:p>
    <w:p>
      <w:pPr>
        <w:spacing w:line="560" w:lineRule="exact"/>
        <w:ind w:firstLine="590" w:firstLineChars="196"/>
        <w:rPr>
          <w:rFonts w:ascii="仿宋_GB2312" w:eastAsia="仿宋_GB2312"/>
          <w:sz w:val="30"/>
          <w:szCs w:val="30"/>
        </w:rPr>
      </w:pPr>
      <w:r>
        <w:rPr>
          <w:rFonts w:hint="eastAsia" w:ascii="仿宋_GB2312" w:hAnsi="黑体" w:eastAsia="仿宋_GB2312"/>
          <w:b/>
          <w:sz w:val="30"/>
          <w:szCs w:val="30"/>
        </w:rPr>
        <w:t>第一条　</w:t>
      </w:r>
      <w:r>
        <w:rPr>
          <w:rFonts w:hint="eastAsia" w:ascii="仿宋_GB2312" w:eastAsia="仿宋_GB2312"/>
          <w:sz w:val="30"/>
          <w:szCs w:val="30"/>
        </w:rPr>
        <w:t>为规范成人高考招生工作，确保成人高考招生工作顺利进行，根据《中华人民共和国教育法》、《中华人民共和国高等教育法》和教育主管部门等有关政策和规定，结合浙大宁波理工学院成人高考招生工作的实际情况，特制定本章程。</w:t>
      </w:r>
    </w:p>
    <w:p>
      <w:pPr>
        <w:spacing w:line="560" w:lineRule="exact"/>
        <w:ind w:firstLine="590" w:firstLineChars="196"/>
        <w:rPr>
          <w:rFonts w:ascii="仿宋_GB2312" w:eastAsia="仿宋_GB2312"/>
          <w:sz w:val="30"/>
          <w:szCs w:val="30"/>
        </w:rPr>
      </w:pPr>
      <w:r>
        <w:rPr>
          <w:rFonts w:hint="eastAsia" w:ascii="仿宋_GB2312" w:hAnsi="黑体" w:eastAsia="仿宋_GB2312"/>
          <w:b/>
          <w:sz w:val="30"/>
          <w:szCs w:val="30"/>
        </w:rPr>
        <w:t>第二条　</w:t>
      </w:r>
      <w:r>
        <w:rPr>
          <w:rFonts w:hint="eastAsia" w:ascii="仿宋_GB2312" w:eastAsia="仿宋_GB2312"/>
          <w:sz w:val="30"/>
          <w:szCs w:val="30"/>
        </w:rPr>
        <w:t>本章程适用</w:t>
      </w:r>
      <w:r>
        <w:rPr>
          <w:rFonts w:ascii="Times New Roman" w:hAnsi="Times New Roman" w:eastAsia="仿宋_GB2312" w:cs="Times New Roman"/>
          <w:sz w:val="30"/>
          <w:szCs w:val="30"/>
        </w:rPr>
        <w:t>于202</w:t>
      </w:r>
      <w:r>
        <w:rPr>
          <w:rFonts w:hint="eastAsia" w:ascii="Times New Roman" w:hAnsi="Times New Roman" w:eastAsia="仿宋_GB2312" w:cs="Times New Roman"/>
          <w:sz w:val="30"/>
          <w:szCs w:val="30"/>
        </w:rPr>
        <w:t>3</w:t>
      </w:r>
      <w:r>
        <w:rPr>
          <w:rFonts w:hint="eastAsia" w:ascii="仿宋_GB2312" w:eastAsia="仿宋_GB2312"/>
          <w:sz w:val="30"/>
          <w:szCs w:val="30"/>
        </w:rPr>
        <w:t>年浙大宁波理工学院成人高考招生工作。</w:t>
      </w:r>
    </w:p>
    <w:p>
      <w:pPr>
        <w:spacing w:line="560" w:lineRule="exact"/>
        <w:ind w:firstLine="590" w:firstLineChars="196"/>
        <w:rPr>
          <w:rFonts w:ascii="仿宋_GB2312" w:eastAsia="仿宋_GB2312"/>
          <w:sz w:val="30"/>
          <w:szCs w:val="30"/>
        </w:rPr>
      </w:pPr>
      <w:r>
        <w:rPr>
          <w:rFonts w:hint="eastAsia" w:ascii="仿宋_GB2312" w:hAnsi="黑体" w:eastAsia="仿宋_GB2312"/>
          <w:b/>
          <w:sz w:val="30"/>
          <w:szCs w:val="30"/>
        </w:rPr>
        <w:t>第三条　</w:t>
      </w:r>
      <w:r>
        <w:rPr>
          <w:rFonts w:hint="eastAsia" w:ascii="仿宋_GB2312" w:eastAsia="仿宋_GB2312"/>
          <w:sz w:val="30"/>
          <w:szCs w:val="30"/>
        </w:rPr>
        <w:t>学校成人高考招生工作严格执行教育部和省级招生主管部门的有关政策和规定，贯彻公平竞争、公正选拔、公开透明的原则，从高分到低分择优录取。</w:t>
      </w:r>
    </w:p>
    <w:p>
      <w:pPr>
        <w:spacing w:line="560" w:lineRule="exact"/>
        <w:ind w:firstLine="590" w:firstLineChars="196"/>
        <w:rPr>
          <w:rFonts w:ascii="仿宋_GB2312" w:eastAsia="仿宋_GB2312"/>
          <w:sz w:val="30"/>
          <w:szCs w:val="30"/>
        </w:rPr>
      </w:pPr>
      <w:r>
        <w:rPr>
          <w:rFonts w:hint="eastAsia" w:ascii="仿宋_GB2312" w:hAnsi="黑体" w:eastAsia="仿宋_GB2312"/>
          <w:b/>
          <w:sz w:val="30"/>
          <w:szCs w:val="30"/>
        </w:rPr>
        <w:t>第四条　</w:t>
      </w:r>
      <w:r>
        <w:rPr>
          <w:rFonts w:hAnsi="仿宋" w:eastAsia="仿宋"/>
          <w:sz w:val="30"/>
          <w:szCs w:val="30"/>
        </w:rPr>
        <w:t>学校成人高等学历教育招生工作接受广大考生及其家长和社会各方面的监督。</w:t>
      </w:r>
    </w:p>
    <w:p>
      <w:pPr>
        <w:pStyle w:val="12"/>
        <w:ind w:left="420" w:leftChars="200" w:firstLine="0" w:firstLineChars="0"/>
        <w:rPr>
          <w:rFonts w:ascii="微软雅黑" w:hAnsi="微软雅黑" w:eastAsia="微软雅黑" w:cs="微软雅黑"/>
          <w:b/>
          <w:sz w:val="28"/>
          <w:szCs w:val="28"/>
        </w:rPr>
      </w:pPr>
    </w:p>
    <w:p>
      <w:pPr>
        <w:spacing w:line="560" w:lineRule="exact"/>
        <w:ind w:firstLine="0" w:firstLineChars="0"/>
        <w:jc w:val="center"/>
        <w:rPr>
          <w:rFonts w:ascii="微软雅黑" w:hAnsi="微软雅黑" w:eastAsia="微软雅黑" w:cs="微软雅黑"/>
          <w:b/>
          <w:sz w:val="28"/>
          <w:szCs w:val="28"/>
        </w:rPr>
      </w:pPr>
      <w:r>
        <w:rPr>
          <w:rFonts w:hint="eastAsia" w:ascii="微软雅黑" w:hAnsi="微软雅黑" w:eastAsia="微软雅黑" w:cs="微软雅黑"/>
          <w:b/>
          <w:sz w:val="28"/>
          <w:szCs w:val="28"/>
        </w:rPr>
        <w:t>第二章 学校概况</w:t>
      </w:r>
    </w:p>
    <w:p>
      <w:pPr>
        <w:autoSpaceDE w:val="0"/>
        <w:autoSpaceDN w:val="0"/>
        <w:adjustRightInd w:val="0"/>
        <w:ind w:firstLine="602"/>
        <w:rPr>
          <w:rFonts w:ascii="仿宋_GB2312" w:eastAsia="仿宋_GB2312"/>
          <w:sz w:val="30"/>
          <w:szCs w:val="30"/>
        </w:rPr>
      </w:pPr>
      <w:r>
        <w:rPr>
          <w:rFonts w:hint="eastAsia" w:ascii="仿宋_GB2312" w:hAnsi="黑体" w:eastAsia="仿宋_GB2312"/>
          <w:b/>
          <w:sz w:val="30"/>
          <w:szCs w:val="30"/>
        </w:rPr>
        <w:t>第五条</w:t>
      </w:r>
      <w:r>
        <w:rPr>
          <w:rFonts w:hint="eastAsia" w:eastAsia="仿宋"/>
          <w:b/>
          <w:sz w:val="30"/>
          <w:szCs w:val="30"/>
        </w:rPr>
        <w:t xml:space="preserve">  </w:t>
      </w:r>
      <w:r>
        <w:rPr>
          <w:rFonts w:hint="eastAsia" w:ascii="仿宋_GB2312" w:eastAsia="仿宋_GB2312"/>
          <w:sz w:val="30"/>
          <w:szCs w:val="30"/>
        </w:rPr>
        <w:t>学校代码及全称：</w:t>
      </w:r>
      <w:r>
        <w:rPr>
          <w:rFonts w:ascii="仿宋_GB2312" w:eastAsia="仿宋_GB2312"/>
          <w:sz w:val="30"/>
          <w:szCs w:val="30"/>
        </w:rPr>
        <w:t>13022</w:t>
      </w:r>
      <w:r>
        <w:rPr>
          <w:rFonts w:hint="eastAsia" w:ascii="仿宋_GB2312" w:eastAsia="仿宋_GB2312"/>
          <w:sz w:val="30"/>
          <w:szCs w:val="30"/>
        </w:rPr>
        <w:t xml:space="preserve">  浙大宁波理工学院  省</w:t>
      </w:r>
    </w:p>
    <w:p>
      <w:pPr>
        <w:autoSpaceDE w:val="0"/>
        <w:autoSpaceDN w:val="0"/>
        <w:adjustRightInd w:val="0"/>
        <w:ind w:firstLine="0" w:firstLineChars="0"/>
        <w:rPr>
          <w:rFonts w:ascii="仿宋_GB2312" w:eastAsia="仿宋_GB2312"/>
          <w:sz w:val="30"/>
          <w:szCs w:val="30"/>
        </w:rPr>
      </w:pPr>
      <w:r>
        <w:rPr>
          <w:rFonts w:hint="eastAsia" w:ascii="仿宋_GB2312" w:eastAsia="仿宋_GB2312"/>
          <w:sz w:val="30"/>
          <w:szCs w:val="30"/>
        </w:rPr>
        <w:t>代码</w:t>
      </w:r>
      <w:r>
        <w:rPr>
          <w:rFonts w:ascii="仿宋_GB2312" w:eastAsia="仿宋_GB2312"/>
          <w:sz w:val="30"/>
          <w:szCs w:val="30"/>
        </w:rPr>
        <w:t>610</w:t>
      </w:r>
      <w:r>
        <w:rPr>
          <w:rFonts w:hint="eastAsia" w:ascii="仿宋_GB2312" w:eastAsia="仿宋_GB2312"/>
          <w:sz w:val="30"/>
          <w:szCs w:val="30"/>
        </w:rPr>
        <w:t>。</w:t>
      </w:r>
    </w:p>
    <w:p>
      <w:pPr>
        <w:autoSpaceDE w:val="0"/>
        <w:autoSpaceDN w:val="0"/>
        <w:adjustRightInd w:val="0"/>
        <w:ind w:firstLine="0" w:firstLineChars="0"/>
        <w:rPr>
          <w:rFonts w:eastAsia="微软雅黑"/>
          <w:sz w:val="30"/>
          <w:szCs w:val="30"/>
        </w:rPr>
      </w:pPr>
      <w:r>
        <w:rPr>
          <w:rFonts w:hint="eastAsia" w:ascii="仿宋_GB2312" w:hAnsi="黑体" w:eastAsia="仿宋_GB2312"/>
          <w:b/>
          <w:sz w:val="30"/>
          <w:szCs w:val="30"/>
        </w:rPr>
        <w:t xml:space="preserve">    第六条　</w:t>
      </w:r>
      <w:r>
        <w:rPr>
          <w:rFonts w:hint="eastAsia" w:ascii="仿宋_GB2312" w:eastAsia="仿宋_GB2312"/>
          <w:sz w:val="30"/>
          <w:szCs w:val="30"/>
        </w:rPr>
        <w:t>办学层次、学习</w:t>
      </w:r>
      <w:r>
        <w:rPr>
          <w:rFonts w:eastAsia="仿宋_GB2312"/>
          <w:sz w:val="30"/>
          <w:szCs w:val="30"/>
        </w:rPr>
        <w:t>形式</w:t>
      </w:r>
      <w:r>
        <w:rPr>
          <w:rFonts w:hint="eastAsia" w:eastAsia="仿宋_GB2312"/>
          <w:sz w:val="30"/>
          <w:szCs w:val="30"/>
        </w:rPr>
        <w:t>、</w:t>
      </w:r>
      <w:r>
        <w:rPr>
          <w:rFonts w:hint="eastAsia" w:ascii="仿宋" w:hAnsi="仿宋" w:eastAsia="仿宋" w:cs="仿宋"/>
          <w:sz w:val="32"/>
          <w:szCs w:val="32"/>
        </w:rPr>
        <w:t>最短学习年限</w:t>
      </w:r>
      <w:r>
        <w:rPr>
          <w:rFonts w:hint="eastAsia" w:eastAsia="仿宋_GB2312"/>
          <w:sz w:val="30"/>
          <w:szCs w:val="30"/>
        </w:rPr>
        <w:t>及招生专业</w:t>
      </w:r>
      <w:r>
        <w:rPr>
          <w:rFonts w:hint="eastAsia" w:ascii="仿宋_GB2312" w:eastAsia="仿宋_GB2312"/>
          <w:sz w:val="30"/>
          <w:szCs w:val="30"/>
        </w:rPr>
        <w:t>：</w:t>
      </w:r>
      <w:r>
        <w:rPr>
          <w:rFonts w:eastAsia="仿宋_GB2312"/>
          <w:sz w:val="30"/>
          <w:szCs w:val="30"/>
        </w:rPr>
        <w:t>专科起点本科</w:t>
      </w:r>
      <w:r>
        <w:rPr>
          <w:rFonts w:hint="eastAsia" w:eastAsia="仿宋_GB2312"/>
          <w:sz w:val="30"/>
          <w:szCs w:val="30"/>
        </w:rPr>
        <w:t>、</w:t>
      </w:r>
      <w:r>
        <w:rPr>
          <w:rFonts w:hint="eastAsia" w:ascii="仿宋_GB2312" w:eastAsia="仿宋_GB2312"/>
          <w:sz w:val="30"/>
          <w:szCs w:val="30"/>
        </w:rPr>
        <w:t>函授、</w:t>
      </w:r>
      <w:r>
        <w:rPr>
          <w:rFonts w:ascii="Times New Roman" w:hAnsi="Times New Roman" w:eastAsia="仿宋_GB2312" w:cs="Times New Roman"/>
          <w:sz w:val="30"/>
          <w:szCs w:val="30"/>
        </w:rPr>
        <w:t>2.5年。招生专业1</w:t>
      </w:r>
      <w:r>
        <w:rPr>
          <w:rFonts w:hint="eastAsia" w:ascii="Times New Roman" w:hAnsi="Times New Roman" w:eastAsia="仿宋_GB2312" w:cs="Times New Roman"/>
          <w:sz w:val="30"/>
          <w:szCs w:val="30"/>
        </w:rPr>
        <w:t>4</w:t>
      </w:r>
      <w:r>
        <w:rPr>
          <w:rFonts w:hint="eastAsia" w:ascii="仿宋_GB2312" w:eastAsia="仿宋_GB2312"/>
          <w:sz w:val="30"/>
          <w:szCs w:val="30"/>
        </w:rPr>
        <w:t>个，主要有：</w:t>
      </w:r>
      <w:r>
        <w:rPr>
          <w:rFonts w:ascii="仿宋_GB2312" w:eastAsia="仿宋_GB2312"/>
          <w:sz w:val="30"/>
          <w:szCs w:val="30"/>
        </w:rPr>
        <w:t>国际经济与贸易</w:t>
      </w:r>
      <w:r>
        <w:rPr>
          <w:rFonts w:hint="eastAsia" w:ascii="仿宋_GB2312" w:eastAsia="仿宋_GB2312"/>
          <w:sz w:val="30"/>
          <w:szCs w:val="30"/>
        </w:rPr>
        <w:t>、</w:t>
      </w:r>
      <w:r>
        <w:rPr>
          <w:rFonts w:ascii="仿宋_GB2312" w:eastAsia="仿宋_GB2312"/>
          <w:sz w:val="30"/>
          <w:szCs w:val="30"/>
        </w:rPr>
        <w:t>机械设计制造及其自动化</w:t>
      </w:r>
      <w:r>
        <w:rPr>
          <w:rFonts w:hint="eastAsia" w:ascii="仿宋_GB2312" w:eastAsia="仿宋_GB2312"/>
          <w:sz w:val="30"/>
          <w:szCs w:val="30"/>
        </w:rPr>
        <w:t>、</w:t>
      </w:r>
      <w:r>
        <w:rPr>
          <w:rFonts w:ascii="仿宋_GB2312" w:eastAsia="仿宋_GB2312"/>
          <w:sz w:val="30"/>
          <w:szCs w:val="30"/>
        </w:rPr>
        <w:t>计算机科学与技术</w:t>
      </w:r>
      <w:r>
        <w:rPr>
          <w:rFonts w:hint="eastAsia" w:ascii="仿宋_GB2312" w:eastAsia="仿宋_GB2312"/>
          <w:sz w:val="30"/>
          <w:szCs w:val="30"/>
        </w:rPr>
        <w:t>、</w:t>
      </w:r>
      <w:r>
        <w:rPr>
          <w:rFonts w:ascii="仿宋_GB2312" w:eastAsia="仿宋_GB2312"/>
          <w:sz w:val="30"/>
          <w:szCs w:val="30"/>
        </w:rPr>
        <w:t>土木工程</w:t>
      </w:r>
      <w:r>
        <w:rPr>
          <w:rFonts w:hint="eastAsia" w:ascii="仿宋_GB2312" w:eastAsia="仿宋_GB2312"/>
          <w:sz w:val="30"/>
          <w:szCs w:val="30"/>
        </w:rPr>
        <w:t>、</w:t>
      </w:r>
      <w:r>
        <w:rPr>
          <w:rFonts w:ascii="仿宋_GB2312" w:eastAsia="仿宋_GB2312"/>
          <w:sz w:val="30"/>
          <w:szCs w:val="30"/>
        </w:rPr>
        <w:t>工程管理</w:t>
      </w:r>
      <w:r>
        <w:rPr>
          <w:rFonts w:hint="eastAsia" w:ascii="仿宋_GB2312" w:eastAsia="仿宋_GB2312"/>
          <w:sz w:val="30"/>
          <w:szCs w:val="30"/>
        </w:rPr>
        <w:t>、</w:t>
      </w:r>
      <w:r>
        <w:rPr>
          <w:rFonts w:ascii="仿宋_GB2312" w:eastAsia="仿宋_GB2312"/>
          <w:sz w:val="30"/>
          <w:szCs w:val="30"/>
        </w:rPr>
        <w:t>财务管理</w:t>
      </w:r>
      <w:r>
        <w:rPr>
          <w:rFonts w:hint="eastAsia" w:ascii="仿宋_GB2312" w:eastAsia="仿宋_GB2312"/>
          <w:sz w:val="30"/>
          <w:szCs w:val="30"/>
        </w:rPr>
        <w:t>、</w:t>
      </w:r>
      <w:r>
        <w:rPr>
          <w:rFonts w:ascii="仿宋_GB2312" w:eastAsia="仿宋_GB2312"/>
          <w:sz w:val="30"/>
          <w:szCs w:val="30"/>
        </w:rPr>
        <w:t>电气工程及其自动化</w:t>
      </w:r>
      <w:r>
        <w:rPr>
          <w:rFonts w:hint="eastAsia" w:ascii="仿宋_GB2312" w:eastAsia="仿宋_GB2312"/>
          <w:sz w:val="30"/>
          <w:szCs w:val="30"/>
        </w:rPr>
        <w:t>、</w:t>
      </w:r>
      <w:r>
        <w:rPr>
          <w:rFonts w:ascii="仿宋_GB2312" w:eastAsia="仿宋_GB2312"/>
          <w:sz w:val="30"/>
          <w:szCs w:val="30"/>
        </w:rPr>
        <w:t>化学工程与工艺</w:t>
      </w:r>
      <w:r>
        <w:rPr>
          <w:rFonts w:hint="eastAsia" w:ascii="仿宋_GB2312" w:eastAsia="仿宋_GB2312"/>
          <w:sz w:val="30"/>
          <w:szCs w:val="30"/>
        </w:rPr>
        <w:t>、</w:t>
      </w:r>
      <w:r>
        <w:rPr>
          <w:rFonts w:ascii="仿宋_GB2312" w:eastAsia="仿宋_GB2312"/>
          <w:sz w:val="30"/>
          <w:szCs w:val="30"/>
        </w:rPr>
        <w:t>法学</w:t>
      </w:r>
      <w:r>
        <w:rPr>
          <w:rFonts w:hint="eastAsia" w:ascii="仿宋_GB2312" w:eastAsia="仿宋_GB2312"/>
          <w:sz w:val="30"/>
          <w:szCs w:val="30"/>
        </w:rPr>
        <w:t>、</w:t>
      </w:r>
      <w:r>
        <w:rPr>
          <w:rFonts w:ascii="仿宋_GB2312" w:eastAsia="仿宋_GB2312"/>
          <w:sz w:val="30"/>
          <w:szCs w:val="30"/>
        </w:rPr>
        <w:t>电子商务</w:t>
      </w:r>
      <w:r>
        <w:rPr>
          <w:rFonts w:hint="eastAsia" w:ascii="仿宋_GB2312" w:eastAsia="仿宋_GB2312"/>
          <w:sz w:val="30"/>
          <w:szCs w:val="30"/>
        </w:rPr>
        <w:t>、金融学、物流管理、电子信息工程、国际商务。</w:t>
      </w:r>
    </w:p>
    <w:p>
      <w:pPr>
        <w:spacing w:line="560" w:lineRule="exact"/>
        <w:ind w:firstLine="602"/>
        <w:rPr>
          <w:rFonts w:hAnsi="仿宋" w:eastAsia="仿宋"/>
          <w:sz w:val="30"/>
          <w:szCs w:val="30"/>
        </w:rPr>
      </w:pPr>
      <w:r>
        <w:rPr>
          <w:rFonts w:hAnsi="仿宋" w:eastAsia="仿宋"/>
          <w:b/>
          <w:sz w:val="30"/>
          <w:szCs w:val="30"/>
        </w:rPr>
        <w:t>第</w:t>
      </w:r>
      <w:r>
        <w:rPr>
          <w:rFonts w:hint="eastAsia" w:ascii="仿宋_GB2312" w:hAnsi="黑体" w:eastAsia="仿宋_GB2312"/>
          <w:b/>
          <w:sz w:val="30"/>
          <w:szCs w:val="30"/>
        </w:rPr>
        <w:t>七</w:t>
      </w:r>
      <w:r>
        <w:rPr>
          <w:rFonts w:hAnsi="仿宋" w:eastAsia="仿宋"/>
          <w:b/>
          <w:sz w:val="30"/>
          <w:szCs w:val="30"/>
        </w:rPr>
        <w:t>条</w:t>
      </w:r>
      <w:r>
        <w:rPr>
          <w:rFonts w:hint="eastAsia" w:hAnsi="仿宋" w:eastAsia="仿宋"/>
          <w:b/>
          <w:sz w:val="30"/>
          <w:szCs w:val="30"/>
        </w:rPr>
        <w:t xml:space="preserve">  </w:t>
      </w:r>
      <w:r>
        <w:rPr>
          <w:rFonts w:hint="eastAsia" w:ascii="仿宋_GB2312" w:eastAsia="仿宋_GB2312"/>
          <w:sz w:val="30"/>
          <w:szCs w:val="30"/>
        </w:rPr>
        <w:t>办学地点：</w:t>
      </w:r>
      <w:r>
        <w:rPr>
          <w:rFonts w:hint="eastAsia" w:hAnsi="仿宋" w:eastAsia="仿宋"/>
          <w:sz w:val="30"/>
          <w:szCs w:val="30"/>
        </w:rPr>
        <w:t>宁波市鄞州区钱湖南</w:t>
      </w:r>
      <w:r>
        <w:rPr>
          <w:rFonts w:ascii="Times New Roman" w:hAnsi="Times New Roman" w:eastAsia="仿宋" w:cs="Times New Roman"/>
          <w:sz w:val="30"/>
          <w:szCs w:val="30"/>
        </w:rPr>
        <w:t>路1</w:t>
      </w:r>
      <w:r>
        <w:rPr>
          <w:rFonts w:hint="eastAsia" w:hAnsi="仿宋" w:eastAsia="仿宋"/>
          <w:sz w:val="30"/>
          <w:szCs w:val="30"/>
        </w:rPr>
        <w:t>号浙大宁波理工学院继续教育学院</w:t>
      </w:r>
      <w:r>
        <w:rPr>
          <w:rFonts w:hint="eastAsia" w:ascii="仿宋_GB2312" w:eastAsia="仿宋_GB2312"/>
          <w:sz w:val="30"/>
          <w:szCs w:val="30"/>
        </w:rPr>
        <w:t>及各校外教学点。</w:t>
      </w:r>
    </w:p>
    <w:p>
      <w:pPr>
        <w:spacing w:line="560" w:lineRule="exact"/>
        <w:ind w:firstLine="602"/>
        <w:rPr>
          <w:rFonts w:ascii="仿宋_GB2312" w:eastAsia="仿宋_GB2312"/>
          <w:sz w:val="30"/>
          <w:szCs w:val="30"/>
        </w:rPr>
      </w:pPr>
      <w:r>
        <w:rPr>
          <w:rFonts w:hint="eastAsia" w:ascii="仿宋_GB2312" w:hAnsi="黑体" w:eastAsia="仿宋_GB2312"/>
          <w:b/>
          <w:sz w:val="30"/>
          <w:szCs w:val="30"/>
        </w:rPr>
        <w:t>第八条</w:t>
      </w:r>
      <w:r>
        <w:rPr>
          <w:rFonts w:hint="eastAsia" w:ascii="楷体" w:hAnsi="楷体" w:eastAsia="楷体" w:cs="楷体"/>
          <w:sz w:val="30"/>
          <w:szCs w:val="30"/>
        </w:rPr>
        <w:t xml:space="preserve">  </w:t>
      </w:r>
      <w:r>
        <w:rPr>
          <w:rFonts w:hint="eastAsia" w:ascii="仿宋_GB2312" w:eastAsia="仿宋_GB2312"/>
          <w:sz w:val="30"/>
          <w:szCs w:val="30"/>
        </w:rPr>
        <w:t>学校成立于</w:t>
      </w:r>
      <w:r>
        <w:rPr>
          <w:rFonts w:ascii="Times New Roman" w:hAnsi="Times New Roman" w:eastAsia="仿宋_GB2312" w:cs="Times New Roman"/>
          <w:sz w:val="30"/>
          <w:szCs w:val="30"/>
        </w:rPr>
        <w:t>2001年6</w:t>
      </w:r>
      <w:r>
        <w:rPr>
          <w:rFonts w:hint="eastAsia" w:ascii="仿宋_GB2312" w:eastAsia="仿宋_GB2312"/>
          <w:sz w:val="30"/>
          <w:szCs w:val="30"/>
        </w:rPr>
        <w:t>月，前身为浙江大学宁波理工学院，</w:t>
      </w:r>
      <w:r>
        <w:rPr>
          <w:rFonts w:ascii="Times New Roman" w:hAnsi="Times New Roman" w:eastAsia="仿宋_GB2312" w:cs="Times New Roman"/>
          <w:sz w:val="30"/>
          <w:szCs w:val="30"/>
        </w:rPr>
        <w:t>2020年1</w:t>
      </w:r>
      <w:r>
        <w:rPr>
          <w:rFonts w:hint="eastAsia" w:ascii="仿宋_GB2312" w:eastAsia="仿宋_GB2312"/>
          <w:sz w:val="30"/>
          <w:szCs w:val="30"/>
        </w:rPr>
        <w:t>月更名为浙大宁波理工学院，是一所经教育部批准，由宁波市人民政府举办、浙江省人民政府管理、浙江大学支持办学的全日制公办普通本科高校。</w:t>
      </w:r>
    </w:p>
    <w:p>
      <w:pPr>
        <w:spacing w:line="560" w:lineRule="exact"/>
        <w:ind w:firstLine="588" w:firstLineChars="196"/>
        <w:rPr>
          <w:rFonts w:ascii="仿宋_GB2312" w:eastAsia="仿宋_GB2312"/>
          <w:sz w:val="30"/>
          <w:szCs w:val="30"/>
        </w:rPr>
      </w:pPr>
      <w:r>
        <w:rPr>
          <w:rFonts w:hint="eastAsia" w:ascii="仿宋_GB2312" w:eastAsia="仿宋_GB2312"/>
          <w:sz w:val="30"/>
          <w:szCs w:val="30"/>
        </w:rPr>
        <w:t>学校坚持“为国家和地方培养卓越专业人才”办学理念，继承弘扬浙江大学“求是创新”精神和浙东学术文化精髓，致力于培养“德智体美劳全面发展，具有人文精神和科学素养的高素质应用型创新人才”，努力建设“省内一流，全国百强”高水平创新性应用型大学。</w:t>
      </w:r>
    </w:p>
    <w:p>
      <w:pPr>
        <w:spacing w:line="560" w:lineRule="exact"/>
        <w:ind w:firstLine="588" w:firstLineChars="196"/>
        <w:rPr>
          <w:rFonts w:ascii="仿宋_GB2312" w:eastAsia="仿宋_GB2312"/>
          <w:sz w:val="30"/>
          <w:szCs w:val="30"/>
        </w:rPr>
      </w:pPr>
      <w:r>
        <w:rPr>
          <w:rFonts w:hint="eastAsia" w:ascii="仿宋_GB2312" w:eastAsia="仿宋_GB2312"/>
          <w:sz w:val="30"/>
          <w:szCs w:val="30"/>
        </w:rPr>
        <w:t xml:space="preserve"> 学校实施人才强校战略，形成一支师德过硬、业务精湛、结构合理、充满活力的师资队伍。学校坚持以人才培养为中心，形成以本科教育为主，研究生教育和继续教育相辅的人才培养体系。学校坚持以学科建设为龙头，形成以工科为主，理、文、法、经、管等相互支撑、协调发展的学科专业体系。学校坚持以服务社会为导向，形成立足区域、面向全国，政、产、学、研相结合的社会服务体系。 </w:t>
      </w:r>
    </w:p>
    <w:p>
      <w:pPr>
        <w:spacing w:line="560" w:lineRule="exact"/>
        <w:ind w:firstLine="588" w:firstLineChars="196"/>
        <w:rPr>
          <w:rFonts w:ascii="仿宋_GB2312" w:eastAsia="仿宋_GB2312"/>
          <w:sz w:val="30"/>
          <w:szCs w:val="30"/>
        </w:rPr>
      </w:pPr>
      <w:r>
        <w:rPr>
          <w:rFonts w:hint="eastAsia" w:ascii="仿宋_GB2312" w:eastAsia="仿宋_GB2312"/>
          <w:sz w:val="30"/>
          <w:szCs w:val="30"/>
        </w:rPr>
        <w:t>多年来，继续教育学院牢牢把握“依托浙大，面向宁波，服务经济”的办学特色，紧紧围绕学校发展目标和战略，完善继续教育鼓励政策，规范办学行为管理，优化专业结构，提升办学质量。以学生为中心，以质量为根本，适时调整成人学历教育专业，打造专业特色，形成以工为主、文理经法兼顾的专业体系。</w:t>
      </w:r>
      <w:r>
        <w:rPr>
          <w:rFonts w:ascii="Times New Roman" w:hAnsi="Times New Roman" w:eastAsia="仿宋_GB2312" w:cs="Times New Roman"/>
          <w:sz w:val="30"/>
          <w:szCs w:val="30"/>
        </w:rPr>
        <w:t>202</w:t>
      </w:r>
      <w:r>
        <w:rPr>
          <w:rFonts w:hint="eastAsia" w:ascii="Times New Roman" w:hAnsi="Times New Roman" w:eastAsia="仿宋_GB2312" w:cs="Times New Roman"/>
          <w:sz w:val="30"/>
          <w:szCs w:val="30"/>
        </w:rPr>
        <w:t>3</w:t>
      </w:r>
      <w:r>
        <w:rPr>
          <w:rFonts w:ascii="Times New Roman" w:hAnsi="Times New Roman" w:eastAsia="仿宋_GB2312" w:cs="Times New Roman"/>
          <w:sz w:val="30"/>
          <w:szCs w:val="30"/>
        </w:rPr>
        <w:t>年，继续教育学院秉着“教书育人，以人为本”的教学理念，</w:t>
      </w:r>
      <w:r>
        <w:rPr>
          <w:rFonts w:hint="eastAsia" w:ascii="仿宋_GB2312" w:eastAsia="仿宋_GB2312"/>
          <w:sz w:val="30"/>
          <w:szCs w:val="30"/>
        </w:rPr>
        <w:t>面向广大有志之士招生。</w:t>
      </w:r>
    </w:p>
    <w:p>
      <w:pPr>
        <w:spacing w:line="560" w:lineRule="exact"/>
        <w:ind w:firstLine="588" w:firstLineChars="196"/>
        <w:rPr>
          <w:rFonts w:ascii="仿宋_GB2312" w:eastAsia="仿宋_GB2312"/>
          <w:sz w:val="30"/>
          <w:szCs w:val="30"/>
        </w:rPr>
      </w:pPr>
    </w:p>
    <w:p>
      <w:pPr>
        <w:spacing w:line="560" w:lineRule="exact"/>
        <w:ind w:firstLine="0" w:firstLineChars="0"/>
        <w:jc w:val="center"/>
        <w:rPr>
          <w:rFonts w:ascii="微软雅黑" w:hAnsi="微软雅黑" w:eastAsia="微软雅黑" w:cs="微软雅黑"/>
          <w:b/>
          <w:sz w:val="28"/>
          <w:szCs w:val="28"/>
        </w:rPr>
      </w:pPr>
      <w:r>
        <w:rPr>
          <w:rFonts w:hint="eastAsia" w:ascii="微软雅黑" w:hAnsi="微软雅黑" w:eastAsia="微软雅黑" w:cs="微软雅黑"/>
          <w:b/>
          <w:sz w:val="28"/>
          <w:szCs w:val="28"/>
        </w:rPr>
        <w:t>第三章 招生计划和录取原则</w:t>
      </w:r>
    </w:p>
    <w:p>
      <w:pPr>
        <w:spacing w:line="560" w:lineRule="exact"/>
        <w:ind w:firstLine="590" w:firstLineChars="196"/>
        <w:rPr>
          <w:rFonts w:ascii="仿宋_GB2312" w:eastAsia="仿宋_GB2312"/>
          <w:sz w:val="30"/>
          <w:szCs w:val="30"/>
        </w:rPr>
      </w:pPr>
      <w:r>
        <w:rPr>
          <w:rFonts w:hint="eastAsia" w:ascii="仿宋_GB2312" w:eastAsia="仿宋_GB2312"/>
          <w:b/>
          <w:bCs/>
          <w:sz w:val="30"/>
          <w:szCs w:val="30"/>
        </w:rPr>
        <w:t xml:space="preserve">第九条 </w:t>
      </w:r>
      <w:r>
        <w:rPr>
          <w:rFonts w:hint="eastAsia" w:ascii="仿宋_GB2312" w:eastAsia="仿宋_GB2312"/>
          <w:sz w:val="30"/>
          <w:szCs w:val="30"/>
        </w:rPr>
        <w:t xml:space="preserve"> 实行“学校负责、省招生主管部门监督”的工作机制。</w:t>
      </w:r>
    </w:p>
    <w:p>
      <w:pPr>
        <w:spacing w:line="560" w:lineRule="exact"/>
        <w:ind w:firstLine="590" w:firstLineChars="196"/>
        <w:rPr>
          <w:rFonts w:ascii="仿宋_GB2312" w:eastAsia="仿宋_GB2312"/>
          <w:sz w:val="30"/>
          <w:szCs w:val="30"/>
        </w:rPr>
      </w:pPr>
      <w:r>
        <w:rPr>
          <w:rFonts w:hint="eastAsia" w:ascii="仿宋_GB2312" w:eastAsia="仿宋_GB2312"/>
          <w:b/>
          <w:bCs/>
          <w:sz w:val="30"/>
          <w:szCs w:val="30"/>
        </w:rPr>
        <w:t xml:space="preserve">第十条 </w:t>
      </w:r>
      <w:r>
        <w:rPr>
          <w:rFonts w:hint="eastAsia" w:ascii="仿宋_GB2312" w:eastAsia="仿宋_GB2312"/>
          <w:sz w:val="30"/>
          <w:szCs w:val="30"/>
        </w:rPr>
        <w:t xml:space="preserve"> 学校执行教育部、省级招生主管部门审核下达的招生专业和招生计划。</w:t>
      </w:r>
    </w:p>
    <w:p>
      <w:pPr>
        <w:spacing w:line="560" w:lineRule="exact"/>
        <w:ind w:firstLine="590" w:firstLineChars="196"/>
        <w:rPr>
          <w:rFonts w:ascii="仿宋_GB2312" w:eastAsia="仿宋_GB2312"/>
          <w:sz w:val="30"/>
          <w:szCs w:val="30"/>
        </w:rPr>
      </w:pPr>
      <w:r>
        <w:rPr>
          <w:rFonts w:hint="eastAsia" w:ascii="仿宋_GB2312" w:eastAsia="仿宋_GB2312"/>
          <w:b/>
          <w:bCs/>
          <w:sz w:val="30"/>
          <w:szCs w:val="30"/>
        </w:rPr>
        <w:t xml:space="preserve">第十一条  </w:t>
      </w:r>
      <w:r>
        <w:rPr>
          <w:rFonts w:hint="eastAsia" w:ascii="仿宋_GB2312" w:eastAsia="仿宋_GB2312"/>
          <w:sz w:val="30"/>
          <w:szCs w:val="30"/>
        </w:rPr>
        <w:t>学校公共外语为英语。</w:t>
      </w:r>
    </w:p>
    <w:p>
      <w:pPr>
        <w:spacing w:line="560" w:lineRule="exact"/>
        <w:ind w:firstLine="590" w:firstLineChars="196"/>
        <w:rPr>
          <w:rFonts w:ascii="仿宋_GB2312" w:eastAsia="仿宋_GB2312"/>
          <w:sz w:val="30"/>
          <w:szCs w:val="30"/>
        </w:rPr>
      </w:pPr>
      <w:r>
        <w:rPr>
          <w:rFonts w:hint="eastAsia" w:ascii="仿宋_GB2312" w:eastAsia="仿宋_GB2312"/>
          <w:b/>
          <w:bCs/>
          <w:sz w:val="30"/>
          <w:szCs w:val="30"/>
        </w:rPr>
        <w:t>第十二条</w:t>
      </w:r>
      <w:r>
        <w:rPr>
          <w:rFonts w:hint="eastAsia" w:ascii="仿宋_GB2312" w:eastAsia="仿宋_GB2312"/>
          <w:sz w:val="30"/>
          <w:szCs w:val="30"/>
        </w:rPr>
        <w:t xml:space="preserve">  学校遵守并执行教育部、省级招生主管部门制定的包括加分或降分政策在内的投档有关规定。</w:t>
      </w:r>
    </w:p>
    <w:p>
      <w:pPr>
        <w:spacing w:line="560" w:lineRule="exact"/>
        <w:ind w:firstLine="590" w:firstLineChars="196"/>
        <w:rPr>
          <w:rFonts w:ascii="仿宋_GB2312" w:eastAsia="仿宋_GB2312"/>
          <w:sz w:val="30"/>
          <w:szCs w:val="30"/>
        </w:rPr>
      </w:pPr>
      <w:r>
        <w:rPr>
          <w:rFonts w:hint="eastAsia" w:ascii="仿宋_GB2312" w:eastAsia="仿宋_GB2312"/>
          <w:b/>
          <w:bCs/>
          <w:sz w:val="30"/>
          <w:szCs w:val="30"/>
        </w:rPr>
        <w:t>第十三条</w:t>
      </w:r>
      <w:r>
        <w:rPr>
          <w:rFonts w:hint="eastAsia" w:ascii="仿宋_GB2312" w:eastAsia="仿宋_GB2312"/>
          <w:sz w:val="30"/>
          <w:szCs w:val="30"/>
        </w:rPr>
        <w:t xml:space="preserve">  考试成绩达到录取分数线的考生，根据招生政策和从高分到低分择优录取的原则进行录取。</w:t>
      </w:r>
    </w:p>
    <w:p>
      <w:pPr>
        <w:spacing w:line="560" w:lineRule="exact"/>
        <w:ind w:firstLine="590" w:firstLineChars="196"/>
        <w:rPr>
          <w:rFonts w:ascii="仿宋_GB2312" w:eastAsia="仿宋_GB2312"/>
          <w:sz w:val="30"/>
          <w:szCs w:val="30"/>
        </w:rPr>
      </w:pPr>
      <w:r>
        <w:rPr>
          <w:rFonts w:hint="eastAsia" w:ascii="仿宋_GB2312" w:eastAsia="仿宋_GB2312"/>
          <w:b/>
          <w:bCs/>
          <w:sz w:val="30"/>
          <w:szCs w:val="30"/>
        </w:rPr>
        <w:t>第十四条</w:t>
      </w:r>
      <w:r>
        <w:rPr>
          <w:rFonts w:hint="eastAsia" w:ascii="仿宋_GB2312" w:eastAsia="仿宋_GB2312"/>
          <w:sz w:val="30"/>
          <w:szCs w:val="30"/>
        </w:rPr>
        <w:t xml:space="preserve">  对于录取考生人数不足开班要求的专业，学校在征询考生和函授站意见基础上有权调整到本校相近专业。</w:t>
      </w:r>
    </w:p>
    <w:p>
      <w:pPr>
        <w:pStyle w:val="12"/>
        <w:ind w:firstLine="0" w:firstLineChars="0"/>
        <w:rPr>
          <w:rFonts w:ascii="微软雅黑" w:hAnsi="微软雅黑" w:eastAsia="微软雅黑" w:cs="微软雅黑"/>
          <w:b/>
          <w:sz w:val="28"/>
          <w:szCs w:val="28"/>
        </w:rPr>
      </w:pPr>
    </w:p>
    <w:p>
      <w:pPr>
        <w:spacing w:line="560" w:lineRule="exact"/>
        <w:ind w:firstLine="0" w:firstLineChars="0"/>
        <w:jc w:val="center"/>
        <w:rPr>
          <w:rFonts w:ascii="微软雅黑" w:hAnsi="微软雅黑" w:eastAsia="微软雅黑" w:cs="微软雅黑"/>
          <w:b/>
          <w:sz w:val="28"/>
          <w:szCs w:val="28"/>
        </w:rPr>
      </w:pPr>
      <w:r>
        <w:rPr>
          <w:rFonts w:hint="eastAsia" w:ascii="微软雅黑" w:hAnsi="微软雅黑" w:eastAsia="微软雅黑" w:cs="微软雅黑"/>
          <w:b/>
          <w:sz w:val="28"/>
          <w:szCs w:val="28"/>
        </w:rPr>
        <w:t>第四章 入学复查和收费</w:t>
      </w:r>
    </w:p>
    <w:p>
      <w:pPr>
        <w:spacing w:line="560" w:lineRule="exact"/>
        <w:ind w:firstLine="590" w:firstLineChars="196"/>
        <w:rPr>
          <w:rFonts w:ascii="仿宋_GB2312" w:eastAsia="仿宋_GB2312"/>
          <w:sz w:val="30"/>
          <w:szCs w:val="30"/>
        </w:rPr>
      </w:pPr>
      <w:r>
        <w:rPr>
          <w:rFonts w:hint="eastAsia" w:ascii="仿宋_GB2312" w:eastAsia="仿宋_GB2312"/>
          <w:b/>
          <w:bCs/>
          <w:sz w:val="30"/>
          <w:szCs w:val="30"/>
        </w:rPr>
        <w:t xml:space="preserve">第十五条  </w:t>
      </w:r>
      <w:r>
        <w:rPr>
          <w:rFonts w:hint="eastAsia" w:ascii="仿宋_GB2312" w:eastAsia="仿宋_GB2312"/>
          <w:sz w:val="30"/>
          <w:szCs w:val="30"/>
        </w:rPr>
        <w:t>被本校录取的新生，应在学校规定的期限内到校办理入学手续。因故不能按期入学者，应向学校请假；未请假或请假逾期者，视为放弃入学资格。新生入学后，学校将对其进行复查；复查不合格者，学校将依据有关规定予以处理，直至取消入学资格。</w:t>
      </w:r>
    </w:p>
    <w:p>
      <w:pPr>
        <w:ind w:firstLine="602"/>
        <w:rPr>
          <w:rFonts w:ascii="楷体" w:hAnsi="楷体" w:eastAsia="楷体" w:cs="楷体"/>
          <w:sz w:val="28"/>
          <w:szCs w:val="28"/>
          <w:lang w:val="en"/>
        </w:rPr>
      </w:pPr>
      <w:r>
        <w:rPr>
          <w:rFonts w:hint="eastAsia" w:ascii="仿宋_GB2312" w:eastAsia="仿宋_GB2312"/>
          <w:b/>
          <w:bCs/>
          <w:sz w:val="30"/>
          <w:szCs w:val="30"/>
        </w:rPr>
        <w:t xml:space="preserve">第十六条  </w:t>
      </w:r>
      <w:r>
        <w:rPr>
          <w:rFonts w:hint="eastAsia" w:ascii="仿宋_GB2312" w:eastAsia="仿宋_GB2312"/>
          <w:sz w:val="30"/>
          <w:szCs w:val="30"/>
        </w:rPr>
        <w:t>严格按浙江省物价局、财政厅、教育厅批文规定的收费标准执行。按照学分收费，理工类（专升本）总学费9000元；经济管理、法学类、文史类（专升本）总学费8100元。</w:t>
      </w:r>
    </w:p>
    <w:p>
      <w:pPr>
        <w:spacing w:line="560" w:lineRule="exact"/>
        <w:ind w:firstLine="0" w:firstLineChars="0"/>
        <w:rPr>
          <w:rFonts w:ascii="仿宋_GB2312" w:eastAsia="仿宋_GB2312"/>
          <w:b/>
          <w:bCs/>
          <w:sz w:val="30"/>
          <w:szCs w:val="30"/>
        </w:rPr>
      </w:pPr>
    </w:p>
    <w:p>
      <w:pPr>
        <w:ind w:firstLine="0" w:firstLineChars="0"/>
        <w:jc w:val="center"/>
        <w:rPr>
          <w:rFonts w:ascii="微软雅黑" w:hAnsi="微软雅黑" w:eastAsia="微软雅黑" w:cs="微软雅黑"/>
          <w:b/>
          <w:sz w:val="28"/>
          <w:szCs w:val="28"/>
        </w:rPr>
      </w:pPr>
      <w:r>
        <w:rPr>
          <w:rFonts w:hint="eastAsia" w:ascii="微软雅黑" w:hAnsi="微软雅黑" w:eastAsia="微软雅黑" w:cs="微软雅黑"/>
          <w:b/>
          <w:sz w:val="28"/>
          <w:szCs w:val="28"/>
        </w:rPr>
        <w:t>第五章 毕业与学位</w:t>
      </w:r>
    </w:p>
    <w:p>
      <w:pPr>
        <w:ind w:firstLine="602"/>
        <w:rPr>
          <w:rFonts w:ascii="仿宋_GB2312" w:eastAsia="仿宋_GB2312"/>
          <w:sz w:val="30"/>
          <w:szCs w:val="30"/>
        </w:rPr>
      </w:pPr>
      <w:r>
        <w:rPr>
          <w:rFonts w:hint="eastAsia" w:ascii="仿宋_GB2312" w:eastAsia="仿宋_GB2312"/>
          <w:b/>
          <w:bCs/>
          <w:sz w:val="30"/>
          <w:szCs w:val="30"/>
        </w:rPr>
        <w:t xml:space="preserve">第十七条  </w:t>
      </w:r>
      <w:r>
        <w:rPr>
          <w:rFonts w:hint="eastAsia" w:ascii="仿宋_GB2312" w:eastAsia="仿宋_GB2312"/>
          <w:sz w:val="30"/>
          <w:szCs w:val="30"/>
          <w:lang w:val="en"/>
        </w:rPr>
        <w:t>学生修满本专业教学培养方案规定的学分，成绩合格、符合毕业条件者，由浙大宁波理工学院颁发经国家教育部电子注册、统一印制的国民教育系列成人高等教育毕业证书。</w:t>
      </w:r>
      <w:r>
        <w:rPr>
          <w:rFonts w:hint="eastAsia" w:ascii="仿宋_GB2312" w:eastAsia="仿宋_GB2312"/>
          <w:sz w:val="30"/>
          <w:szCs w:val="30"/>
        </w:rPr>
        <w:t xml:space="preserve"> </w:t>
      </w:r>
    </w:p>
    <w:p>
      <w:pPr>
        <w:ind w:firstLine="602"/>
        <w:rPr>
          <w:rFonts w:ascii="仿宋_GB2312" w:eastAsia="仿宋_GB2312"/>
          <w:sz w:val="30"/>
          <w:szCs w:val="30"/>
          <w:lang w:val="en"/>
        </w:rPr>
      </w:pPr>
      <w:r>
        <w:rPr>
          <w:rFonts w:hint="eastAsia" w:ascii="仿宋_GB2312" w:eastAsia="仿宋_GB2312"/>
          <w:b/>
          <w:bCs/>
          <w:sz w:val="30"/>
          <w:szCs w:val="30"/>
        </w:rPr>
        <w:t xml:space="preserve">第十八条  </w:t>
      </w:r>
      <w:r>
        <w:rPr>
          <w:rFonts w:hint="eastAsia" w:ascii="仿宋_GB2312" w:eastAsia="仿宋_GB2312"/>
          <w:sz w:val="30"/>
          <w:szCs w:val="30"/>
          <w:lang w:val="en"/>
        </w:rPr>
        <w:t>符合学士学位授予条件的本科毕业生，可申请浙大宁波理工学院学士学位。</w:t>
      </w:r>
    </w:p>
    <w:p>
      <w:pPr>
        <w:ind w:firstLine="600"/>
        <w:rPr>
          <w:rFonts w:ascii="仿宋_GB2312" w:eastAsia="仿宋_GB2312"/>
          <w:sz w:val="30"/>
          <w:szCs w:val="30"/>
          <w:lang w:val="en"/>
        </w:rPr>
      </w:pPr>
    </w:p>
    <w:p>
      <w:pPr>
        <w:ind w:firstLine="0" w:firstLineChars="0"/>
        <w:jc w:val="center"/>
        <w:rPr>
          <w:rFonts w:ascii="仿宋_GB2312" w:eastAsia="仿宋_GB2312"/>
          <w:sz w:val="30"/>
          <w:szCs w:val="30"/>
          <w:lang w:val="en"/>
        </w:rPr>
      </w:pPr>
      <w:r>
        <w:rPr>
          <w:rFonts w:hint="eastAsia" w:ascii="微软雅黑" w:hAnsi="微软雅黑" w:eastAsia="微软雅黑" w:cs="微软雅黑"/>
          <w:b/>
          <w:sz w:val="28"/>
          <w:szCs w:val="28"/>
        </w:rPr>
        <w:t>第六章 附则</w:t>
      </w:r>
    </w:p>
    <w:p>
      <w:pPr>
        <w:spacing w:line="480" w:lineRule="exact"/>
        <w:ind w:firstLine="602"/>
        <w:rPr>
          <w:rFonts w:ascii="仿宋_GB2312" w:eastAsia="仿宋_GB2312"/>
          <w:sz w:val="30"/>
          <w:szCs w:val="30"/>
        </w:rPr>
      </w:pPr>
      <w:r>
        <w:rPr>
          <w:rFonts w:hint="eastAsia" w:ascii="仿宋_GB2312" w:eastAsia="仿宋_GB2312"/>
          <w:b/>
          <w:bCs/>
          <w:sz w:val="30"/>
          <w:szCs w:val="30"/>
        </w:rPr>
        <w:t xml:space="preserve">第十九条 </w:t>
      </w:r>
      <w:r>
        <w:rPr>
          <w:rFonts w:hint="eastAsia" w:ascii="仿宋_GB2312" w:eastAsia="仿宋_GB2312"/>
          <w:sz w:val="30"/>
          <w:szCs w:val="30"/>
        </w:rPr>
        <w:t xml:space="preserve"> 联系方式： </w:t>
      </w:r>
    </w:p>
    <w:p>
      <w:pPr>
        <w:spacing w:line="480" w:lineRule="exact"/>
        <w:ind w:firstLine="600"/>
        <w:rPr>
          <w:rFonts w:ascii="仿宋_GB2312" w:eastAsia="仿宋_GB2312"/>
          <w:sz w:val="30"/>
          <w:szCs w:val="30"/>
        </w:rPr>
      </w:pPr>
      <w:r>
        <w:rPr>
          <w:rFonts w:hint="eastAsia" w:ascii="仿宋_GB2312" w:eastAsia="仿宋_GB2312"/>
          <w:sz w:val="30"/>
          <w:szCs w:val="30"/>
        </w:rPr>
        <w:t>学院网址：</w:t>
      </w:r>
      <w:r>
        <w:fldChar w:fldCharType="begin"/>
      </w:r>
      <w:r>
        <w:instrText xml:space="preserve"> HYPERLINK "http://sce.nit.net.cn/" </w:instrText>
      </w:r>
      <w:r>
        <w:fldChar w:fldCharType="separate"/>
      </w:r>
      <w:r>
        <w:rPr>
          <w:rFonts w:hint="eastAsia" w:ascii="仿宋_GB2312" w:eastAsia="仿宋_GB2312"/>
          <w:sz w:val="30"/>
          <w:szCs w:val="30"/>
        </w:rPr>
        <w:t>http://sce.nit.net.cn/</w:t>
      </w:r>
      <w:r>
        <w:rPr>
          <w:rFonts w:hint="eastAsia" w:ascii="仿宋_GB2312" w:eastAsia="仿宋_GB2312"/>
          <w:sz w:val="30"/>
          <w:szCs w:val="30"/>
        </w:rPr>
        <w:fldChar w:fldCharType="end"/>
      </w:r>
    </w:p>
    <w:p>
      <w:pPr>
        <w:spacing w:line="480" w:lineRule="exact"/>
        <w:ind w:firstLine="600"/>
        <w:rPr>
          <w:rFonts w:ascii="仿宋_GB2312" w:eastAsia="仿宋_GB2312"/>
          <w:sz w:val="30"/>
          <w:szCs w:val="30"/>
        </w:rPr>
      </w:pPr>
      <w:r>
        <w:rPr>
          <w:rFonts w:hint="eastAsia" w:ascii="仿宋_GB2312" w:eastAsia="仿宋_GB2312"/>
          <w:sz w:val="30"/>
          <w:szCs w:val="30"/>
        </w:rPr>
        <w:t>学院微信公众号：浙大宁波理工学院继续教育学院</w:t>
      </w:r>
    </w:p>
    <w:p>
      <w:pPr>
        <w:spacing w:line="480" w:lineRule="exact"/>
        <w:ind w:firstLine="600"/>
        <w:rPr>
          <w:rFonts w:ascii="Times New Roman" w:hAnsi="Times New Roman" w:eastAsia="仿宋_GB2312" w:cs="Times New Roman"/>
          <w:sz w:val="30"/>
          <w:szCs w:val="30"/>
        </w:rPr>
      </w:pPr>
      <w:r>
        <w:rPr>
          <w:rFonts w:hint="eastAsia" w:ascii="仿宋_GB2312" w:eastAsia="仿宋_GB2312"/>
          <w:sz w:val="30"/>
          <w:szCs w:val="30"/>
        </w:rPr>
        <w:t>咨询电话：</w:t>
      </w:r>
      <w:r>
        <w:rPr>
          <w:rFonts w:ascii="Times New Roman" w:hAnsi="Times New Roman" w:eastAsia="仿宋_GB2312" w:cs="Times New Roman"/>
          <w:sz w:val="30"/>
          <w:szCs w:val="30"/>
        </w:rPr>
        <w:t>0574-88130278</w:t>
      </w:r>
    </w:p>
    <w:p>
      <w:pPr>
        <w:spacing w:line="480" w:lineRule="exact"/>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学院地址：宁波市鄞州区钱湖南路1号</w:t>
      </w:r>
    </w:p>
    <w:p>
      <w:pPr>
        <w:spacing w:line="480" w:lineRule="exact"/>
        <w:ind w:firstLine="602"/>
        <w:rPr>
          <w:rFonts w:ascii="仿宋_GB2312" w:eastAsia="仿宋_GB2312"/>
          <w:sz w:val="30"/>
          <w:szCs w:val="30"/>
        </w:rPr>
      </w:pPr>
      <w:r>
        <w:rPr>
          <w:rFonts w:hint="eastAsia" w:ascii="仿宋_GB2312" w:eastAsia="仿宋_GB2312"/>
          <w:b/>
          <w:bCs/>
          <w:sz w:val="30"/>
          <w:szCs w:val="30"/>
        </w:rPr>
        <w:t>第二十条</w:t>
      </w:r>
      <w:r>
        <w:rPr>
          <w:rFonts w:hint="eastAsia" w:ascii="仿宋" w:hAnsi="仿宋" w:eastAsia="仿宋" w:cs="仿宋"/>
          <w:sz w:val="32"/>
          <w:szCs w:val="32"/>
        </w:rPr>
        <w:t xml:space="preserve"> </w:t>
      </w:r>
      <w:r>
        <w:rPr>
          <w:rFonts w:hint="eastAsia" w:ascii="仿宋_GB2312" w:eastAsia="仿宋_GB2312"/>
          <w:sz w:val="30"/>
          <w:szCs w:val="30"/>
        </w:rPr>
        <w:t>本章程由浙大宁波理工学院继续教育学院负责解释。若有与上级有关政策和规定不一致的，以上级有关政策和规定为准。</w:t>
      </w:r>
    </w:p>
    <w:p>
      <w:pPr>
        <w:ind w:firstLine="0" w:firstLineChars="0"/>
        <w:rPr>
          <w:rFonts w:ascii="黑体" w:hAnsi="黑体" w:eastAsia="黑体" w:cs="黑体"/>
          <w:sz w:val="32"/>
          <w:szCs w:val="32"/>
        </w:rPr>
      </w:pPr>
    </w:p>
    <w:p>
      <w:pPr>
        <w:ind w:firstLine="0" w:firstLineChars="0"/>
        <w:rPr>
          <w:rFonts w:ascii="仿宋" w:hAnsi="仿宋" w:eastAsia="仿宋"/>
          <w:b/>
          <w:sz w:val="28"/>
          <w:szCs w:val="28"/>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36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3"/>
                      <w:ind w:firstLine="36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zNzBkNWEyYzgxZGVmYjNhMzY1NjllOTgxMzVlYzIifQ=="/>
  </w:docVars>
  <w:rsids>
    <w:rsidRoot w:val="00C573C1"/>
    <w:rsid w:val="00015060"/>
    <w:rsid w:val="000205E4"/>
    <w:rsid w:val="000239BF"/>
    <w:rsid w:val="00043661"/>
    <w:rsid w:val="0006379E"/>
    <w:rsid w:val="00077939"/>
    <w:rsid w:val="000C7E3D"/>
    <w:rsid w:val="000E01A5"/>
    <w:rsid w:val="000E543E"/>
    <w:rsid w:val="000F524F"/>
    <w:rsid w:val="00113ACF"/>
    <w:rsid w:val="00125B7F"/>
    <w:rsid w:val="00130108"/>
    <w:rsid w:val="001547A0"/>
    <w:rsid w:val="001769F7"/>
    <w:rsid w:val="001B252F"/>
    <w:rsid w:val="002048BF"/>
    <w:rsid w:val="00236618"/>
    <w:rsid w:val="00244DA9"/>
    <w:rsid w:val="0025036D"/>
    <w:rsid w:val="002509C7"/>
    <w:rsid w:val="0029196C"/>
    <w:rsid w:val="002C030C"/>
    <w:rsid w:val="002C56CC"/>
    <w:rsid w:val="002E7F5E"/>
    <w:rsid w:val="00300A3F"/>
    <w:rsid w:val="0031108C"/>
    <w:rsid w:val="00320184"/>
    <w:rsid w:val="0034078E"/>
    <w:rsid w:val="00356797"/>
    <w:rsid w:val="00364F63"/>
    <w:rsid w:val="003C21C9"/>
    <w:rsid w:val="003C3CD8"/>
    <w:rsid w:val="003D086A"/>
    <w:rsid w:val="003F32AC"/>
    <w:rsid w:val="003F461C"/>
    <w:rsid w:val="003F6940"/>
    <w:rsid w:val="00403359"/>
    <w:rsid w:val="004271C3"/>
    <w:rsid w:val="00440780"/>
    <w:rsid w:val="004423E5"/>
    <w:rsid w:val="004550AE"/>
    <w:rsid w:val="00455F54"/>
    <w:rsid w:val="00465599"/>
    <w:rsid w:val="0047179A"/>
    <w:rsid w:val="00484D64"/>
    <w:rsid w:val="004907EB"/>
    <w:rsid w:val="004C6A50"/>
    <w:rsid w:val="004D1F44"/>
    <w:rsid w:val="00544233"/>
    <w:rsid w:val="00545DC7"/>
    <w:rsid w:val="005751E7"/>
    <w:rsid w:val="00581264"/>
    <w:rsid w:val="005855A7"/>
    <w:rsid w:val="005946C6"/>
    <w:rsid w:val="005C3291"/>
    <w:rsid w:val="005C5B9E"/>
    <w:rsid w:val="005C6C9C"/>
    <w:rsid w:val="005D3388"/>
    <w:rsid w:val="005D517F"/>
    <w:rsid w:val="005F2AFD"/>
    <w:rsid w:val="005F7453"/>
    <w:rsid w:val="006345F5"/>
    <w:rsid w:val="00655776"/>
    <w:rsid w:val="006647C7"/>
    <w:rsid w:val="0068298A"/>
    <w:rsid w:val="006843DC"/>
    <w:rsid w:val="00691110"/>
    <w:rsid w:val="006962B8"/>
    <w:rsid w:val="006A78A0"/>
    <w:rsid w:val="006B1F23"/>
    <w:rsid w:val="006D572F"/>
    <w:rsid w:val="006F10AA"/>
    <w:rsid w:val="0075488D"/>
    <w:rsid w:val="00773B0D"/>
    <w:rsid w:val="007754BC"/>
    <w:rsid w:val="00775991"/>
    <w:rsid w:val="0079225B"/>
    <w:rsid w:val="00797023"/>
    <w:rsid w:val="007A5E2F"/>
    <w:rsid w:val="007C4DB4"/>
    <w:rsid w:val="007C7292"/>
    <w:rsid w:val="00802F61"/>
    <w:rsid w:val="008323B7"/>
    <w:rsid w:val="00844C63"/>
    <w:rsid w:val="00846A95"/>
    <w:rsid w:val="00895973"/>
    <w:rsid w:val="008A5953"/>
    <w:rsid w:val="008B20D3"/>
    <w:rsid w:val="008C3B9E"/>
    <w:rsid w:val="00902B9D"/>
    <w:rsid w:val="00903C81"/>
    <w:rsid w:val="00934DD7"/>
    <w:rsid w:val="009B17E6"/>
    <w:rsid w:val="009C1A62"/>
    <w:rsid w:val="009E3193"/>
    <w:rsid w:val="009E4321"/>
    <w:rsid w:val="009F3737"/>
    <w:rsid w:val="00A04A4E"/>
    <w:rsid w:val="00A21AEA"/>
    <w:rsid w:val="00A21D1D"/>
    <w:rsid w:val="00A626C4"/>
    <w:rsid w:val="00A65935"/>
    <w:rsid w:val="00A77B16"/>
    <w:rsid w:val="00A8619C"/>
    <w:rsid w:val="00A93A02"/>
    <w:rsid w:val="00B0111E"/>
    <w:rsid w:val="00B1237E"/>
    <w:rsid w:val="00B23B70"/>
    <w:rsid w:val="00B24B6C"/>
    <w:rsid w:val="00B26233"/>
    <w:rsid w:val="00B303E0"/>
    <w:rsid w:val="00B447DE"/>
    <w:rsid w:val="00B748D4"/>
    <w:rsid w:val="00B76FB3"/>
    <w:rsid w:val="00BE1FF8"/>
    <w:rsid w:val="00BF267D"/>
    <w:rsid w:val="00C44037"/>
    <w:rsid w:val="00C50740"/>
    <w:rsid w:val="00C573C1"/>
    <w:rsid w:val="00C64274"/>
    <w:rsid w:val="00C96DAD"/>
    <w:rsid w:val="00CB0166"/>
    <w:rsid w:val="00CC1B4B"/>
    <w:rsid w:val="00CC7855"/>
    <w:rsid w:val="00D10D6E"/>
    <w:rsid w:val="00D11CCE"/>
    <w:rsid w:val="00D153CB"/>
    <w:rsid w:val="00D155B9"/>
    <w:rsid w:val="00D3524A"/>
    <w:rsid w:val="00D63945"/>
    <w:rsid w:val="00D87BB2"/>
    <w:rsid w:val="00D93891"/>
    <w:rsid w:val="00D96507"/>
    <w:rsid w:val="00DF229A"/>
    <w:rsid w:val="00DF6935"/>
    <w:rsid w:val="00E049FE"/>
    <w:rsid w:val="00E169CC"/>
    <w:rsid w:val="00E82654"/>
    <w:rsid w:val="00E86CAF"/>
    <w:rsid w:val="00E90CCE"/>
    <w:rsid w:val="00E95EEC"/>
    <w:rsid w:val="00EA2C4C"/>
    <w:rsid w:val="00EC075B"/>
    <w:rsid w:val="00EE1C4E"/>
    <w:rsid w:val="00EE69B7"/>
    <w:rsid w:val="00EF0878"/>
    <w:rsid w:val="00EF0A3F"/>
    <w:rsid w:val="00F34E3F"/>
    <w:rsid w:val="00F41D58"/>
    <w:rsid w:val="00F477BF"/>
    <w:rsid w:val="00F75073"/>
    <w:rsid w:val="00FB0E51"/>
    <w:rsid w:val="00FB5D41"/>
    <w:rsid w:val="00FC4688"/>
    <w:rsid w:val="00FD402A"/>
    <w:rsid w:val="00FD4F4A"/>
    <w:rsid w:val="00FE057F"/>
    <w:rsid w:val="00FE131A"/>
    <w:rsid w:val="00FF30E2"/>
    <w:rsid w:val="00FF57EA"/>
    <w:rsid w:val="01431708"/>
    <w:rsid w:val="01975C1B"/>
    <w:rsid w:val="03512E0A"/>
    <w:rsid w:val="03F22A43"/>
    <w:rsid w:val="041E3421"/>
    <w:rsid w:val="04C46AC5"/>
    <w:rsid w:val="05CA5D49"/>
    <w:rsid w:val="07351A0D"/>
    <w:rsid w:val="07BB591A"/>
    <w:rsid w:val="09051DE8"/>
    <w:rsid w:val="0A0F410F"/>
    <w:rsid w:val="0B564457"/>
    <w:rsid w:val="0B6A1B43"/>
    <w:rsid w:val="0B81196A"/>
    <w:rsid w:val="0CD52B92"/>
    <w:rsid w:val="0D1A5B1E"/>
    <w:rsid w:val="0F8D4938"/>
    <w:rsid w:val="104E4840"/>
    <w:rsid w:val="124E2A60"/>
    <w:rsid w:val="125D3828"/>
    <w:rsid w:val="127D4A2A"/>
    <w:rsid w:val="12906FB8"/>
    <w:rsid w:val="15677897"/>
    <w:rsid w:val="15D761F7"/>
    <w:rsid w:val="16607C46"/>
    <w:rsid w:val="17172C11"/>
    <w:rsid w:val="17925FCB"/>
    <w:rsid w:val="17E77435"/>
    <w:rsid w:val="180939D0"/>
    <w:rsid w:val="18B56597"/>
    <w:rsid w:val="18E27C37"/>
    <w:rsid w:val="19623C45"/>
    <w:rsid w:val="196C3B97"/>
    <w:rsid w:val="1AA23D09"/>
    <w:rsid w:val="1C5376A9"/>
    <w:rsid w:val="1CCB29B1"/>
    <w:rsid w:val="1D0677F1"/>
    <w:rsid w:val="1D660459"/>
    <w:rsid w:val="1F465C16"/>
    <w:rsid w:val="203B6F83"/>
    <w:rsid w:val="206B71EC"/>
    <w:rsid w:val="20D4763B"/>
    <w:rsid w:val="20F872F9"/>
    <w:rsid w:val="214B3C78"/>
    <w:rsid w:val="21CA307A"/>
    <w:rsid w:val="21FC1F3D"/>
    <w:rsid w:val="220B5E15"/>
    <w:rsid w:val="22945772"/>
    <w:rsid w:val="22DD02A3"/>
    <w:rsid w:val="23C76BB2"/>
    <w:rsid w:val="23FA084A"/>
    <w:rsid w:val="25526699"/>
    <w:rsid w:val="258F0B9A"/>
    <w:rsid w:val="27367C9A"/>
    <w:rsid w:val="283C176C"/>
    <w:rsid w:val="294D33FC"/>
    <w:rsid w:val="29E73D87"/>
    <w:rsid w:val="2ACF390D"/>
    <w:rsid w:val="2B032119"/>
    <w:rsid w:val="2C1E0276"/>
    <w:rsid w:val="2CC751B1"/>
    <w:rsid w:val="2E073CF6"/>
    <w:rsid w:val="2FE4288A"/>
    <w:rsid w:val="30B34EE5"/>
    <w:rsid w:val="310617DA"/>
    <w:rsid w:val="322160F6"/>
    <w:rsid w:val="32AE117C"/>
    <w:rsid w:val="33385DFB"/>
    <w:rsid w:val="33CA1CD2"/>
    <w:rsid w:val="353F3098"/>
    <w:rsid w:val="35B3078B"/>
    <w:rsid w:val="376818B0"/>
    <w:rsid w:val="39D2513E"/>
    <w:rsid w:val="3B525790"/>
    <w:rsid w:val="3C265BC5"/>
    <w:rsid w:val="3CA34FF1"/>
    <w:rsid w:val="3D1B0391"/>
    <w:rsid w:val="3FBA3655"/>
    <w:rsid w:val="403E5DF1"/>
    <w:rsid w:val="41383F4D"/>
    <w:rsid w:val="41913B5E"/>
    <w:rsid w:val="423D0E68"/>
    <w:rsid w:val="42941E50"/>
    <w:rsid w:val="433C5D87"/>
    <w:rsid w:val="443C151F"/>
    <w:rsid w:val="444D5170"/>
    <w:rsid w:val="44837DE1"/>
    <w:rsid w:val="47645470"/>
    <w:rsid w:val="47A33D0A"/>
    <w:rsid w:val="4806560E"/>
    <w:rsid w:val="49135C67"/>
    <w:rsid w:val="495C16E0"/>
    <w:rsid w:val="49887871"/>
    <w:rsid w:val="4A981D47"/>
    <w:rsid w:val="4C58443D"/>
    <w:rsid w:val="4CB35F63"/>
    <w:rsid w:val="4DBB5408"/>
    <w:rsid w:val="4E2B6E41"/>
    <w:rsid w:val="4E6F0653"/>
    <w:rsid w:val="4E78102F"/>
    <w:rsid w:val="4EAD4A76"/>
    <w:rsid w:val="4FA548B1"/>
    <w:rsid w:val="50044E35"/>
    <w:rsid w:val="501B4FAF"/>
    <w:rsid w:val="51484FEE"/>
    <w:rsid w:val="529C2096"/>
    <w:rsid w:val="52F9148B"/>
    <w:rsid w:val="53874898"/>
    <w:rsid w:val="548636A8"/>
    <w:rsid w:val="556E73A7"/>
    <w:rsid w:val="55A658BE"/>
    <w:rsid w:val="55DA29B6"/>
    <w:rsid w:val="56007B4B"/>
    <w:rsid w:val="56A022F5"/>
    <w:rsid w:val="571267B7"/>
    <w:rsid w:val="57A23DDA"/>
    <w:rsid w:val="58921FB4"/>
    <w:rsid w:val="58E57CCF"/>
    <w:rsid w:val="59274CC7"/>
    <w:rsid w:val="5A085DF1"/>
    <w:rsid w:val="5AED184A"/>
    <w:rsid w:val="5B007468"/>
    <w:rsid w:val="5B47223B"/>
    <w:rsid w:val="5B73358E"/>
    <w:rsid w:val="5DC971B2"/>
    <w:rsid w:val="5E1058BE"/>
    <w:rsid w:val="5E77367E"/>
    <w:rsid w:val="5EBF6435"/>
    <w:rsid w:val="5F6973BE"/>
    <w:rsid w:val="5FB43739"/>
    <w:rsid w:val="60561BAF"/>
    <w:rsid w:val="60AD78CB"/>
    <w:rsid w:val="62EB391F"/>
    <w:rsid w:val="640A36C9"/>
    <w:rsid w:val="64F3274E"/>
    <w:rsid w:val="657D0FBC"/>
    <w:rsid w:val="65CF7530"/>
    <w:rsid w:val="668A2E3C"/>
    <w:rsid w:val="669B3886"/>
    <w:rsid w:val="67211DDF"/>
    <w:rsid w:val="68702BBF"/>
    <w:rsid w:val="69070DBA"/>
    <w:rsid w:val="6A500A74"/>
    <w:rsid w:val="6B286151"/>
    <w:rsid w:val="6B76709E"/>
    <w:rsid w:val="6BA9328B"/>
    <w:rsid w:val="6ECB57D8"/>
    <w:rsid w:val="6EE700CA"/>
    <w:rsid w:val="72CD094B"/>
    <w:rsid w:val="74FF588E"/>
    <w:rsid w:val="753551CA"/>
    <w:rsid w:val="77A57DD2"/>
    <w:rsid w:val="78D157B4"/>
    <w:rsid w:val="795F10E9"/>
    <w:rsid w:val="7A692E31"/>
    <w:rsid w:val="7B6D0F1E"/>
    <w:rsid w:val="7D3764AD"/>
    <w:rsid w:val="7D605FA4"/>
    <w:rsid w:val="7D756CAD"/>
    <w:rsid w:val="7DA25D9D"/>
    <w:rsid w:val="7DC82E56"/>
    <w:rsid w:val="7DCE0309"/>
    <w:rsid w:val="7FC52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heme="minorHAnsi" w:hAnsiTheme="minorHAnsi" w:eastAsiaTheme="minorEastAsia" w:cstheme="minorBidi"/>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pPr>
      <w:ind w:firstLine="0" w:firstLineChars="0"/>
    </w:pPr>
    <w:rPr>
      <w:rFonts w:ascii="宋体" w:hAnsi="Courier New" w:eastAsia="宋体" w:cs="Courier New"/>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FollowedHyperlink"/>
    <w:basedOn w:val="8"/>
    <w:semiHidden/>
    <w:unhideWhenUsed/>
    <w:qFormat/>
    <w:uiPriority w:val="99"/>
    <w:rPr>
      <w:color w:val="800080" w:themeColor="followedHyperlink"/>
      <w:u w:val="single"/>
      <w14:textFill>
        <w14:solidFill>
          <w14:schemeClr w14:val="folHlink"/>
        </w14:solidFill>
      </w14:textFill>
    </w:rPr>
  </w:style>
  <w:style w:type="character" w:styleId="11">
    <w:name w:val="Hyperlink"/>
    <w:basedOn w:val="8"/>
    <w:unhideWhenUsed/>
    <w:qFormat/>
    <w:uiPriority w:val="99"/>
    <w:rPr>
      <w:color w:val="0000FF" w:themeColor="hyperlink"/>
      <w:u w:val="single"/>
      <w14:textFill>
        <w14:solidFill>
          <w14:schemeClr w14:val="hlink"/>
        </w14:solidFill>
      </w14:textFill>
    </w:rPr>
  </w:style>
  <w:style w:type="paragraph" w:styleId="12">
    <w:name w:val="List Paragraph"/>
    <w:basedOn w:val="1"/>
    <w:qFormat/>
    <w:uiPriority w:val="34"/>
    <w:pPr>
      <w:ind w:firstLine="420"/>
    </w:pPr>
  </w:style>
  <w:style w:type="character" w:customStyle="1" w:styleId="13">
    <w:name w:val="纯文本 Char"/>
    <w:basedOn w:val="8"/>
    <w:link w:val="2"/>
    <w:qFormat/>
    <w:uiPriority w:val="0"/>
    <w:rPr>
      <w:rFonts w:ascii="宋体" w:hAnsi="Courier New" w:eastAsia="宋体" w:cs="Courier New"/>
      <w:szCs w:val="21"/>
    </w:rPr>
  </w:style>
  <w:style w:type="character" w:customStyle="1" w:styleId="14">
    <w:name w:val="页脚 Char"/>
    <w:basedOn w:val="8"/>
    <w:link w:val="3"/>
    <w:qFormat/>
    <w:uiPriority w:val="99"/>
    <w:rPr>
      <w:sz w:val="18"/>
      <w:szCs w:val="18"/>
    </w:rPr>
  </w:style>
  <w:style w:type="character" w:customStyle="1" w:styleId="15">
    <w:name w:val="页眉 Char"/>
    <w:basedOn w:val="8"/>
    <w:link w:val="4"/>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60C16B-ECA2-47BA-9202-6A04F921DFE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285</Words>
  <Characters>1631</Characters>
  <Lines>13</Lines>
  <Paragraphs>3</Paragraphs>
  <TotalTime>0</TotalTime>
  <ScaleCrop>false</ScaleCrop>
  <LinksUpToDate>false</LinksUpToDate>
  <CharactersWithSpaces>1913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2023-09-14T03:23:00Z</dcterms:created>
  <dc:creator>lenovo-zhang</dc:creator>
  <cp:lastModifiedBy>Administrator</cp:lastModifiedBy>
  <dcterms:modified xsi:type="dcterms:W3CDTF">2023-09-14T08:26:54Z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36862090E4B94E0D911F0B317A2F21D6_13</vt:lpwstr>
  </property>
</Properties>
</file>