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浙江育英职业技术学院202</w:t>
      </w:r>
      <w:r>
        <w:rPr>
          <w:rFonts w:hint="eastAsia" w:asciiTheme="minorEastAsia" w:hAnsiTheme="minorEastAsia" w:cstheme="minorEastAsia"/>
          <w:b/>
          <w:bCs/>
          <w:sz w:val="36"/>
          <w:szCs w:val="36"/>
          <w:lang w:val="en-US" w:eastAsia="zh-CN"/>
        </w:rPr>
        <w:t>2</w:t>
      </w:r>
      <w:r>
        <w:rPr>
          <w:rFonts w:hint="eastAsia" w:asciiTheme="minorEastAsia" w:hAnsiTheme="minorEastAsia" w:cstheme="minorEastAsia"/>
          <w:b/>
          <w:bCs/>
          <w:sz w:val="36"/>
          <w:szCs w:val="36"/>
        </w:rPr>
        <w:t>年成人高等教育招生章程</w:t>
      </w:r>
    </w:p>
    <w:p>
      <w:pPr>
        <w:shd w:val="solid" w:color="FFFFFF" w:fill="auto"/>
        <w:autoSpaceDN w:val="0"/>
        <w:spacing w:line="480" w:lineRule="exact"/>
        <w:rPr>
          <w:rFonts w:asciiTheme="minorEastAsia" w:hAnsiTheme="minorEastAsia" w:cstheme="minorEastAsia"/>
          <w:b/>
          <w:bCs/>
          <w:sz w:val="28"/>
          <w:szCs w:val="28"/>
        </w:rPr>
      </w:pP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1.高校全称：</w:t>
      </w:r>
      <w:r>
        <w:rPr>
          <w:rFonts w:hint="eastAsia" w:asciiTheme="minorEastAsia" w:hAnsiTheme="minorEastAsia" w:cstheme="minorEastAsia"/>
          <w:sz w:val="28"/>
          <w:szCs w:val="28"/>
        </w:rPr>
        <w:t xml:space="preserve">浙江育英职业技术学院 </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2.院校省代码：</w:t>
      </w:r>
      <w:r>
        <w:rPr>
          <w:rFonts w:hint="eastAsia" w:asciiTheme="minorEastAsia" w:hAnsiTheme="minorEastAsia" w:cstheme="minorEastAsia"/>
          <w:sz w:val="28"/>
          <w:szCs w:val="28"/>
        </w:rPr>
        <w:t>622</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3.学校地址：</w:t>
      </w:r>
      <w:r>
        <w:rPr>
          <w:rFonts w:hint="eastAsia" w:asciiTheme="minorEastAsia" w:hAnsiTheme="minorEastAsia" w:cstheme="minorEastAsia"/>
          <w:sz w:val="28"/>
          <w:szCs w:val="28"/>
        </w:rPr>
        <w:t>杭州市钱塘区（下沙高教园区）</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rPr>
        <w:t>号大街16号</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4.办学性质：</w:t>
      </w:r>
      <w:r>
        <w:rPr>
          <w:rFonts w:hint="eastAsia" w:asciiTheme="minorEastAsia" w:hAnsiTheme="minorEastAsia" w:cstheme="minorEastAsia"/>
          <w:sz w:val="28"/>
          <w:szCs w:val="28"/>
        </w:rPr>
        <w:t>民办</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5.办学层次：</w:t>
      </w:r>
      <w:r>
        <w:rPr>
          <w:rFonts w:hint="eastAsia" w:asciiTheme="minorEastAsia" w:hAnsiTheme="minorEastAsia" w:cstheme="minorEastAsia"/>
          <w:sz w:val="28"/>
          <w:szCs w:val="28"/>
        </w:rPr>
        <w:t>高职（专科）</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6.招生范围：</w:t>
      </w:r>
      <w:r>
        <w:rPr>
          <w:rFonts w:hint="eastAsia" w:asciiTheme="minorEastAsia" w:hAnsiTheme="minorEastAsia" w:cstheme="minorEastAsia"/>
          <w:sz w:val="28"/>
          <w:szCs w:val="28"/>
        </w:rPr>
        <w:t xml:space="preserve">全省 </w:t>
      </w:r>
    </w:p>
    <w:p>
      <w:pPr>
        <w:shd w:val="solid" w:color="FFFFFF" w:fill="auto"/>
        <w:autoSpaceDN w:val="0"/>
        <w:spacing w:line="480" w:lineRule="exact"/>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rPr>
        <w:t>7.学习形式、学制：</w:t>
      </w:r>
    </w:p>
    <w:p>
      <w:pPr>
        <w:shd w:val="solid" w:color="FFFFFF" w:fill="auto"/>
        <w:autoSpaceDN w:val="0"/>
        <w:spacing w:line="480" w:lineRule="exac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xml:space="preserve">  (1)学习形式：业余、函授</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(2)学制：2.5年</w:t>
      </w:r>
    </w:p>
    <w:p>
      <w:pPr>
        <w:shd w:val="solid" w:color="FFFFFF" w:fill="auto"/>
        <w:autoSpaceDN w:val="0"/>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8.办学类型：</w:t>
      </w:r>
      <w:r>
        <w:rPr>
          <w:rFonts w:hint="eastAsia" w:asciiTheme="minorEastAsia" w:hAnsiTheme="minorEastAsia" w:cstheme="minorEastAsia"/>
          <w:sz w:val="28"/>
          <w:szCs w:val="28"/>
        </w:rPr>
        <w:t>成人高等教育</w:t>
      </w:r>
    </w:p>
    <w:p>
      <w:pPr>
        <w:shd w:val="solid" w:color="FFFFFF" w:fill="auto"/>
        <w:autoSpaceDN w:val="0"/>
        <w:spacing w:line="48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9.颁发学历证书的学校名称、证书种类及学历层次:</w:t>
      </w:r>
    </w:p>
    <w:p>
      <w:pPr>
        <w:pStyle w:val="6"/>
        <w:spacing w:before="0" w:beforeAutospacing="0" w:after="0" w:afterAutospacing="0" w:line="48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sz w:val="28"/>
          <w:szCs w:val="28"/>
        </w:rPr>
        <w:t>浙江育英职业技术学院，成人高等教育，专科层次。</w:t>
      </w:r>
    </w:p>
    <w:p>
      <w:pPr>
        <w:widowControl/>
        <w:wordWrap w:val="0"/>
        <w:spacing w:line="480" w:lineRule="exact"/>
        <w:jc w:val="left"/>
        <w:rPr>
          <w:rFonts w:asciiTheme="minorEastAsia" w:hAnsiTheme="minorEastAsia" w:cstheme="minorEastAsia"/>
          <w:b/>
          <w:sz w:val="28"/>
          <w:szCs w:val="28"/>
        </w:rPr>
      </w:pPr>
      <w:r>
        <w:rPr>
          <w:rFonts w:hint="eastAsia" w:asciiTheme="minorEastAsia" w:hAnsiTheme="minorEastAsia" w:cstheme="minorEastAsia"/>
          <w:b/>
          <w:sz w:val="28"/>
          <w:szCs w:val="28"/>
        </w:rPr>
        <w:t>10.报名条件：</w:t>
      </w:r>
    </w:p>
    <w:p>
      <w:pPr>
        <w:widowControl/>
        <w:wordWrap w:val="0"/>
        <w:spacing w:line="480" w:lineRule="exact"/>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考生应</w:t>
      </w:r>
      <w:r>
        <w:rPr>
          <w:rFonts w:hint="eastAsia" w:asciiTheme="minorEastAsia" w:hAnsiTheme="minorEastAsia" w:cstheme="minorEastAsia"/>
          <w:sz w:val="28"/>
          <w:szCs w:val="28"/>
          <w:lang w:val="en-US" w:eastAsia="zh-CN"/>
        </w:rPr>
        <w:t>符合下列条件方可报考：</w:t>
      </w:r>
    </w:p>
    <w:p>
      <w:pPr>
        <w:widowControl/>
        <w:wordWrap w:val="0"/>
        <w:spacing w:line="480" w:lineRule="exact"/>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遵守中华人民共和国宪法和法律。</w:t>
      </w:r>
    </w:p>
    <w:p>
      <w:pPr>
        <w:widowControl/>
        <w:wordWrap w:val="0"/>
        <w:spacing w:line="480" w:lineRule="exact"/>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lang w:eastAsia="zh-CN"/>
        </w:rPr>
        <w:t>国家承认学历的各类</w:t>
      </w:r>
      <w:r>
        <w:rPr>
          <w:rFonts w:hint="eastAsia" w:asciiTheme="minorEastAsia" w:hAnsiTheme="minorEastAsia" w:cstheme="minorEastAsia"/>
          <w:sz w:val="28"/>
          <w:szCs w:val="28"/>
        </w:rPr>
        <w:t>高、中等学校在校生以外的从业人员和社会其他人员。</w:t>
      </w:r>
    </w:p>
    <w:p>
      <w:pPr>
        <w:widowControl/>
        <w:wordWrap w:val="0"/>
        <w:spacing w:line="480" w:lineRule="exact"/>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身体健康，生活能自理，不影响所报专业学习。</w:t>
      </w:r>
    </w:p>
    <w:p>
      <w:pPr>
        <w:widowControl/>
        <w:wordWrap w:val="0"/>
        <w:spacing w:line="480" w:lineRule="exact"/>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报考高起专的考生应高级中等教育学校毕业或者具有同等学力。</w:t>
      </w:r>
    </w:p>
    <w:p>
      <w:pPr>
        <w:widowControl/>
        <w:wordWrap w:val="0"/>
        <w:spacing w:line="480" w:lineRule="exact"/>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11.报名程序：</w:t>
      </w:r>
    </w:p>
    <w:p>
      <w:pPr>
        <w:widowControl/>
        <w:wordWrap w:val="0"/>
        <w:spacing w:line="480" w:lineRule="exact"/>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实行网上报名和填报志愿、网上缴费、考试结束后网上确认志愿的方式。</w:t>
      </w:r>
    </w:p>
    <w:p>
      <w:pPr>
        <w:widowControl/>
        <w:wordWrap w:val="0"/>
        <w:spacing w:line="480" w:lineRule="exact"/>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（一）网上报名和填报志愿</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网上报名和填报志愿时间为9月1日8:30至9月5日17:00，考生登录浙江省教育考试院官网（www.zjzs.net）成人高校招生报名系统进行。</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考生须认真阅读《报考须知》，网上签订《考生诚信考试承诺书》，按规定输入报名信息，根据公布的招生院校专业目录填报院校和专业志愿（可填报相应层次和科类的1所院校2个专业志愿），并按系统要求上传本人照片、相关职业资格证书及证明材料</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外省户籍考生须提供有效期内的浙江省居住证。</w:t>
      </w:r>
    </w:p>
    <w:p>
      <w:pPr>
        <w:widowControl/>
        <w:wordWrap w:val="0"/>
        <w:spacing w:line="480" w:lineRule="exact"/>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（二）网上信息审核和缴费</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9月6日-9月11日，各地招生考试机构组织人员对考生提交的报名信息进行审核。审核通过的考生按短信通知要求登录报名系统进行网上缴费完成报名。提交资料不全的考生按短信通知网上补充相关材料，并在规定的时间和地点进行现场审核，审核通过后进行网上缴费完成报名。网上缴费的截止时间为9月11日17:00，逾期未缴费的考生视为放弃报名，不能参加考试。</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成人高考报名考试费收费标准按照《浙江省物价局 浙江省财政厅关于调整部分教育考试收费标准的通知》（浙价费〔2018〕32号）文件规定执行，每人每科次40元。</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有关招生考试机构须对考生报考资格进行审查，对不符合报考条件的考生，须取消其报考资格。</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考生报名时验证的手机号是接收短信通知的重要渠道，报名所用微信号或钉钉号为身份认证的凭证，须认真维护；所对应的密码严禁向他人透露。绑定他人手机号报名、借用他人微信号或钉钉号、泄露本人密码信息造成的后果全部由考生本人承担。</w:t>
      </w:r>
    </w:p>
    <w:p>
      <w:pPr>
        <w:widowControl/>
        <w:wordWrap w:val="0"/>
        <w:spacing w:line="480" w:lineRule="exact"/>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（三）网上志愿确认</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考试结束后，考生登录浙江省教育考试院官网成人高校招生报名系统确认志愿，时间为11月17日至21日</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最终确认时间</w:t>
      </w:r>
      <w:r>
        <w:rPr>
          <w:rFonts w:hint="eastAsia" w:asciiTheme="minorEastAsia" w:hAnsiTheme="minorEastAsia" w:cstheme="minorEastAsia"/>
          <w:sz w:val="28"/>
          <w:szCs w:val="28"/>
        </w:rPr>
        <w:t>以浙江省教育考试院公布为准</w:t>
      </w:r>
      <w:bookmarkStart w:id="0" w:name="_GoBack"/>
      <w:bookmarkEnd w:id="0"/>
      <w:r>
        <w:rPr>
          <w:rFonts w:hint="eastAsia" w:asciiTheme="minorEastAsia" w:hAnsiTheme="minorEastAsia" w:cstheme="minorEastAsia"/>
          <w:sz w:val="28"/>
          <w:szCs w:val="28"/>
          <w:lang w:eastAsia="zh-CN"/>
        </w:rPr>
        <w:t>）。</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考生可根据公布的院校专业招生计划，结合本人实际情况对报名时填报的志愿进行修改确认。修改的志愿必须是与考试科目一致的同层次、同科类且符合报考条件的院校和专业，其中报考医学门类专业的考生，可以改填非医学门类专业志愿，报考非医学门类专业的考生，不得改填医学门类专业志愿。考生在志愿确认截止时间前，可多次登录系统进行修改，按最后一次修改确认并成功提交的志愿为准，无需办理现场确认手续。考生未在规定时间内网上修改确认的，其报名时填报的志愿默认为考生确认志愿。</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录取期间，对各批次未完成招生计划的院校和专业，浙江省教育考试院将通过官网统一向社会公布，未录取的符合条件考生可登录浙江省教育考试院官网，查看院校信息，重新在网上补报志愿。</w:t>
      </w:r>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b/>
          <w:bCs/>
          <w:sz w:val="28"/>
          <w:szCs w:val="28"/>
        </w:rPr>
        <w:t>12.招生专业和入学考试科目：</w:t>
      </w:r>
    </w:p>
    <w:tbl>
      <w:tblPr>
        <w:tblStyle w:val="8"/>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488"/>
        <w:gridCol w:w="1109"/>
        <w:gridCol w:w="1197"/>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85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专业</w:t>
            </w:r>
          </w:p>
        </w:tc>
        <w:tc>
          <w:tcPr>
            <w:tcW w:w="1488"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学习形式</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学制</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科类</w:t>
            </w:r>
          </w:p>
        </w:tc>
        <w:tc>
          <w:tcPr>
            <w:tcW w:w="277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入学考试科目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酒店管理与数字化运营</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restart"/>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语文、数学（文）、英语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电子商务</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市场营销</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国际经济与贸易</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城市轨道交通运营管理</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民航安全技术管理</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空中乘务</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业余</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现代物业管理</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文科</w:t>
            </w:r>
          </w:p>
        </w:tc>
        <w:tc>
          <w:tcPr>
            <w:tcW w:w="2774" w:type="dxa"/>
            <w:vMerge w:val="continue"/>
            <w:vAlign w:val="center"/>
          </w:tcPr>
          <w:p>
            <w:pPr>
              <w:widowControl/>
              <w:wordWrap w:val="0"/>
              <w:spacing w:line="48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54"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计算机网络技术</w:t>
            </w:r>
          </w:p>
        </w:tc>
        <w:tc>
          <w:tcPr>
            <w:tcW w:w="1488" w:type="dxa"/>
            <w:vAlign w:val="bottom"/>
          </w:tcPr>
          <w:p>
            <w:pPr>
              <w:keepNext w:val="0"/>
              <w:keepLines w:val="0"/>
              <w:widowControl/>
              <w:suppressLineNumbers w:val="0"/>
              <w:jc w:val="left"/>
              <w:textAlignment w:val="bottom"/>
              <w:rPr>
                <w:rFonts w:asciiTheme="minorEastAsia" w:hAnsiTheme="minorEastAsia" w:cstheme="minorEastAsia"/>
                <w:szCs w:val="21"/>
              </w:rPr>
            </w:pPr>
            <w:r>
              <w:rPr>
                <w:rFonts w:hint="default" w:ascii="Arial" w:hAnsi="Arial" w:eastAsia="宋体" w:cs="Arial"/>
                <w:i w:val="0"/>
                <w:iCs w:val="0"/>
                <w:color w:val="000000"/>
                <w:kern w:val="0"/>
                <w:sz w:val="20"/>
                <w:szCs w:val="20"/>
                <w:u w:val="none"/>
                <w:lang w:val="en-US" w:eastAsia="zh-CN" w:bidi="ar"/>
              </w:rPr>
              <w:t>函授</w:t>
            </w:r>
          </w:p>
        </w:tc>
        <w:tc>
          <w:tcPr>
            <w:tcW w:w="1109"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1197"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szCs w:val="21"/>
              </w:rPr>
              <w:t>理</w:t>
            </w:r>
            <w:r>
              <w:rPr>
                <w:rFonts w:hint="eastAsia" w:asciiTheme="minorEastAsia" w:hAnsiTheme="minorEastAsia" w:cstheme="minorEastAsia"/>
                <w:color w:val="333333"/>
                <w:szCs w:val="21"/>
              </w:rPr>
              <w:t>科</w:t>
            </w:r>
          </w:p>
        </w:tc>
        <w:tc>
          <w:tcPr>
            <w:tcW w:w="2774" w:type="dxa"/>
            <w:vAlign w:val="center"/>
          </w:tcPr>
          <w:p>
            <w:pPr>
              <w:widowControl/>
              <w:wordWrap w:val="0"/>
              <w:spacing w:line="480" w:lineRule="exact"/>
              <w:jc w:val="center"/>
              <w:rPr>
                <w:rFonts w:asciiTheme="minorEastAsia" w:hAnsiTheme="minorEastAsia" w:cstheme="minorEastAsia"/>
                <w:szCs w:val="21"/>
              </w:rPr>
            </w:pPr>
            <w:r>
              <w:rPr>
                <w:rFonts w:hint="eastAsia" w:asciiTheme="minorEastAsia" w:hAnsiTheme="minorEastAsia" w:cstheme="minorEastAsia"/>
                <w:color w:val="333333"/>
                <w:szCs w:val="21"/>
              </w:rPr>
              <w:t>语文、数学（理）、英语</w:t>
            </w:r>
          </w:p>
        </w:tc>
      </w:tr>
    </w:tbl>
    <w:p>
      <w:pPr>
        <w:widowControl/>
        <w:shd w:val="clear" w:color="auto" w:fill="FFFFFF"/>
        <w:spacing w:line="480" w:lineRule="exact"/>
        <w:ind w:firstLine="560" w:firstLineChars="200"/>
        <w:jc w:val="left"/>
        <w:rPr>
          <w:rFonts w:asciiTheme="minorEastAsia" w:hAnsiTheme="minorEastAsia" w:cstheme="minorEastAsia"/>
          <w:bCs/>
          <w:sz w:val="28"/>
          <w:szCs w:val="28"/>
        </w:rPr>
      </w:pPr>
      <w:r>
        <w:rPr>
          <w:rFonts w:hint="eastAsia" w:asciiTheme="minorEastAsia" w:hAnsiTheme="minorEastAsia" w:cstheme="minorEastAsia"/>
          <w:sz w:val="28"/>
          <w:szCs w:val="28"/>
        </w:rPr>
        <w:t>注：最终招生专业以浙江省教育考试院公布为准。</w:t>
      </w:r>
    </w:p>
    <w:p>
      <w:pPr>
        <w:widowControl/>
        <w:wordWrap w:val="0"/>
        <w:spacing w:line="480" w:lineRule="exact"/>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rPr>
        <w:t>13.录取规则：</w:t>
      </w:r>
    </w:p>
    <w:p>
      <w:pPr>
        <w:widowControl/>
        <w:wordWrap w:val="0"/>
        <w:spacing w:line="48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xml:space="preserve">    (1)招生工作实行“成人高校负责，省教育考试院监督”的录取体制。招生录取工作严格遵守教育部和省教育考试院的有关政策和规定，积极组织实施高校招生“阳光工程”，贯彻“公平竞争、公正选拔、公开透明”的原则，对符合报考条件，依照浙江省教育考试院所确定的最低录取控制分数线，按考生志愿和招生计划，分专业从高分到低分择优录取。</w:t>
      </w:r>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(2)在招生计划许可的情况下，各专业招生人数可视成人高考上分数线人数和学校办学资源而定，当考生填报的专业志愿都未被录取时，对服从专业调剂者，从高分到低分调剂到未录满专业；对不服从专业调剂者，予以退档处理。</w:t>
      </w:r>
    </w:p>
    <w:p>
      <w:pPr>
        <w:spacing w:line="480" w:lineRule="exact"/>
        <w:rPr>
          <w:rFonts w:ascii="仿宋_GB2312" w:eastAsia="仿宋_GB2312"/>
          <w:sz w:val="28"/>
          <w:szCs w:val="28"/>
        </w:rPr>
      </w:pPr>
      <w:r>
        <w:rPr>
          <w:rFonts w:hint="eastAsia" w:asciiTheme="minorEastAsia" w:hAnsiTheme="minorEastAsia" w:cstheme="minorEastAsia"/>
          <w:b/>
          <w:bCs/>
          <w:sz w:val="28"/>
          <w:szCs w:val="28"/>
        </w:rPr>
        <w:t>14.入学注意事项：</w:t>
      </w:r>
      <w:r>
        <w:rPr>
          <w:rFonts w:hint="eastAsia" w:asciiTheme="minorEastAsia" w:hAnsiTheme="minorEastAsia" w:cstheme="minorEastAsia"/>
          <w:sz w:val="28"/>
          <w:szCs w:val="28"/>
          <w:lang w:val="en"/>
        </w:rPr>
        <w:t>被我校录取的新生，应在学校规定的期限内到校办理入学注册手续。因故不能按期入学者，应在报到日起7个工作日内向学校请假。未请假或请假逾期者，视为放弃入学资格。</w:t>
      </w:r>
    </w:p>
    <w:p>
      <w:pPr>
        <w:widowControl/>
        <w:shd w:val="clear" w:color="auto" w:fill="FFFFFF"/>
        <w:spacing w:line="4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rPr>
        <w:t>15.收费标准：</w:t>
      </w:r>
      <w:r>
        <w:rPr>
          <w:rFonts w:hint="eastAsia" w:asciiTheme="minorEastAsia" w:hAnsiTheme="minorEastAsia" w:cstheme="minorEastAsia"/>
          <w:sz w:val="28"/>
          <w:szCs w:val="28"/>
        </w:rPr>
        <w:t>按《浙江省物价局 浙江省财政厅 浙江省教育厅关于调整成人高等教育收费的通知》（浙价费[2014]245号）等相关规定收取。</w:t>
      </w:r>
      <w:r>
        <w:rPr>
          <w:rFonts w:hint="eastAsia" w:asciiTheme="minorEastAsia" w:hAnsiTheme="minorEastAsia" w:cstheme="minorEastAsia"/>
          <w:sz w:val="28"/>
          <w:szCs w:val="28"/>
          <w:lang w:val="en"/>
        </w:rPr>
        <w:t>专科最短学习年限</w:t>
      </w:r>
      <w:r>
        <w:rPr>
          <w:rFonts w:hint="eastAsia" w:asciiTheme="minorEastAsia" w:hAnsiTheme="minorEastAsia" w:cstheme="minorEastAsia"/>
          <w:sz w:val="28"/>
          <w:szCs w:val="28"/>
        </w:rPr>
        <w:t>2.5</w:t>
      </w:r>
      <w:r>
        <w:rPr>
          <w:rFonts w:hint="eastAsia" w:asciiTheme="minorEastAsia" w:hAnsiTheme="minorEastAsia" w:cstheme="minorEastAsia"/>
          <w:sz w:val="28"/>
          <w:szCs w:val="28"/>
          <w:lang w:val="en"/>
        </w:rPr>
        <w:t>年，其中工科类专业学费</w:t>
      </w:r>
      <w:r>
        <w:rPr>
          <w:rFonts w:hint="eastAsia" w:asciiTheme="minorEastAsia" w:hAnsiTheme="minorEastAsia" w:cstheme="minorEastAsia"/>
          <w:sz w:val="28"/>
          <w:szCs w:val="28"/>
          <w:lang w:val="en-US" w:eastAsia="zh-CN"/>
        </w:rPr>
        <w:t>每生总费用为9900元（第1学年3960元，第2学年3960元，第2.5学年1980元）</w:t>
      </w:r>
      <w:r>
        <w:rPr>
          <w:rFonts w:hint="eastAsia" w:asciiTheme="minorEastAsia" w:hAnsiTheme="minorEastAsia" w:cstheme="minorEastAsia"/>
          <w:sz w:val="28"/>
          <w:szCs w:val="28"/>
          <w:lang w:val="en"/>
        </w:rPr>
        <w:t>，文科类专业学费每生</w:t>
      </w:r>
      <w:r>
        <w:rPr>
          <w:rFonts w:hint="eastAsia" w:asciiTheme="minorEastAsia" w:hAnsiTheme="minorEastAsia" w:cstheme="minorEastAsia"/>
          <w:sz w:val="28"/>
          <w:szCs w:val="28"/>
          <w:lang w:val="en-US" w:eastAsia="zh-CN"/>
        </w:rPr>
        <w:t>总费用为8910元（第1学年3564元，第2学年3564元，第2.5学年1782元）</w:t>
      </w:r>
      <w:r>
        <w:rPr>
          <w:rFonts w:hint="eastAsia" w:asciiTheme="minorEastAsia" w:hAnsiTheme="minorEastAsia" w:cstheme="minorEastAsia"/>
          <w:sz w:val="28"/>
          <w:szCs w:val="28"/>
          <w:lang w:val="en" w:eastAsia="zh-CN"/>
        </w:rPr>
        <w:t>。</w:t>
      </w:r>
    </w:p>
    <w:p>
      <w:pPr>
        <w:widowControl/>
        <w:wordWrap w:val="0"/>
        <w:spacing w:line="480" w:lineRule="exact"/>
        <w:jc w:val="left"/>
        <w:rPr>
          <w:rFonts w:asciiTheme="minorEastAsia" w:hAnsiTheme="minorEastAsia" w:cstheme="minorEastAsia"/>
          <w:sz w:val="28"/>
          <w:szCs w:val="28"/>
        </w:rPr>
      </w:pPr>
      <w:r>
        <w:rPr>
          <w:rFonts w:hint="eastAsia" w:asciiTheme="minorEastAsia" w:hAnsiTheme="minorEastAsia" w:cstheme="minorEastAsia"/>
          <w:b/>
          <w:bCs/>
          <w:sz w:val="28"/>
          <w:szCs w:val="28"/>
        </w:rPr>
        <w:t>16.毕业待遇：</w:t>
      </w:r>
      <w:r>
        <w:rPr>
          <w:rFonts w:hint="eastAsia" w:asciiTheme="minorEastAsia" w:hAnsiTheme="minorEastAsia" w:cstheme="minorEastAsia"/>
          <w:sz w:val="28"/>
          <w:szCs w:val="28"/>
        </w:rPr>
        <w:t>凡参加全国成人高考统一考试被我校录取的学生，修完我校专业教学计划规定的全部课程，成绩合格，颁发国家承认的成人高等学历教育专科毕业证书，并在中国高等教育学生信息网上电子注册。按照国家和浙江省的有关文件规定，其待遇与普通高等学校相同学历层次毕业生同等对待。</w:t>
      </w:r>
    </w:p>
    <w:p>
      <w:pPr>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17.联系地址：</w:t>
      </w:r>
      <w:r>
        <w:rPr>
          <w:rFonts w:hint="eastAsia" w:asciiTheme="minorEastAsia" w:hAnsiTheme="minorEastAsia" w:cstheme="minorEastAsia"/>
          <w:sz w:val="28"/>
          <w:szCs w:val="28"/>
        </w:rPr>
        <w:t>杭州市钱塘新区（下沙高教园区）4号大街16号浙江育英职业技术学院继续教育分院。邮政编码：310018。</w:t>
      </w:r>
    </w:p>
    <w:p>
      <w:pPr>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18.咨询电话：</w:t>
      </w:r>
      <w:r>
        <w:rPr>
          <w:rFonts w:hint="eastAsia" w:asciiTheme="minorEastAsia" w:hAnsiTheme="minorEastAsia" w:cstheme="minorEastAsia"/>
          <w:sz w:val="28"/>
          <w:szCs w:val="28"/>
        </w:rPr>
        <w:t>0571-86879230（倪老师），86877185（沈老师）</w:t>
      </w:r>
    </w:p>
    <w:p>
      <w:pPr>
        <w:spacing w:line="480" w:lineRule="exact"/>
        <w:rPr>
          <w:rFonts w:asciiTheme="minorEastAsia" w:hAnsiTheme="minorEastAsia" w:cstheme="minorEastAsia"/>
          <w:sz w:val="28"/>
          <w:szCs w:val="28"/>
        </w:rPr>
      </w:pPr>
      <w:r>
        <w:rPr>
          <w:rFonts w:hint="eastAsia" w:asciiTheme="minorEastAsia" w:hAnsiTheme="minorEastAsia" w:cstheme="minorEastAsia"/>
          <w:b/>
          <w:bCs/>
          <w:sz w:val="28"/>
          <w:szCs w:val="28"/>
        </w:rPr>
        <w:t>19.院校网址：</w:t>
      </w:r>
      <w:r>
        <w:rPr>
          <w:rFonts w:hint="eastAsia" w:asciiTheme="minorEastAsia" w:hAnsiTheme="minorEastAsia" w:cstheme="minorEastAsia"/>
          <w:sz w:val="28"/>
          <w:szCs w:val="28"/>
        </w:rPr>
        <w:t>www.zjyyc.com</w:t>
      </w:r>
    </w:p>
    <w:p>
      <w:pPr>
        <w:spacing w:line="480" w:lineRule="exact"/>
        <w:ind w:firstLine="560" w:firstLineChars="200"/>
        <w:rPr>
          <w:rFonts w:asciiTheme="minorEastAsia" w:hAnsiTheme="minorEastAsia" w:cstheme="minorEastAsia"/>
          <w:sz w:val="28"/>
          <w:szCs w:val="28"/>
        </w:rPr>
      </w:pPr>
    </w:p>
    <w:p>
      <w:pPr>
        <w:spacing w:line="480" w:lineRule="exact"/>
        <w:rPr>
          <w:rFonts w:asciiTheme="minorEastAsia" w:hAnsiTheme="minorEastAsia" w:cstheme="minorEastAsia"/>
          <w:sz w:val="28"/>
          <w:szCs w:val="28"/>
        </w:rPr>
      </w:pPr>
    </w:p>
    <w:p>
      <w:pPr>
        <w:spacing w:line="480" w:lineRule="exact"/>
        <w:rPr>
          <w:rFonts w:asciiTheme="minorEastAsia" w:hAnsiTheme="minorEastAsia" w:cstheme="minorEastAsia"/>
          <w:sz w:val="28"/>
          <w:szCs w:val="28"/>
        </w:rPr>
      </w:pPr>
    </w:p>
    <w:sectPr>
      <w:pgSz w:w="11906" w:h="16838"/>
      <w:pgMar w:top="1418" w:right="1486" w:bottom="13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ZTY1ZTEyNTU1M2ViNzQ5MTU0MTdiYmQ2MmE3NTgifQ=="/>
  </w:docVars>
  <w:rsids>
    <w:rsidRoot w:val="73505E05"/>
    <w:rsid w:val="000009C0"/>
    <w:rsid w:val="00037FD1"/>
    <w:rsid w:val="000C4B73"/>
    <w:rsid w:val="00113D93"/>
    <w:rsid w:val="00164BEC"/>
    <w:rsid w:val="00165997"/>
    <w:rsid w:val="001C71B4"/>
    <w:rsid w:val="001F6C4A"/>
    <w:rsid w:val="00232A62"/>
    <w:rsid w:val="002508A2"/>
    <w:rsid w:val="002F10F3"/>
    <w:rsid w:val="00300999"/>
    <w:rsid w:val="00374EAF"/>
    <w:rsid w:val="00381B59"/>
    <w:rsid w:val="003F7FDA"/>
    <w:rsid w:val="0044107E"/>
    <w:rsid w:val="00466DB6"/>
    <w:rsid w:val="00466F95"/>
    <w:rsid w:val="004A4D9D"/>
    <w:rsid w:val="00501669"/>
    <w:rsid w:val="00787F92"/>
    <w:rsid w:val="00883290"/>
    <w:rsid w:val="00894EF7"/>
    <w:rsid w:val="008B18C6"/>
    <w:rsid w:val="008D268C"/>
    <w:rsid w:val="0092472F"/>
    <w:rsid w:val="00962B15"/>
    <w:rsid w:val="00967D2C"/>
    <w:rsid w:val="00974FFA"/>
    <w:rsid w:val="009C4089"/>
    <w:rsid w:val="00B22D39"/>
    <w:rsid w:val="00B34DE0"/>
    <w:rsid w:val="00B429E6"/>
    <w:rsid w:val="00B86535"/>
    <w:rsid w:val="00BC3BEA"/>
    <w:rsid w:val="00BE3F4A"/>
    <w:rsid w:val="00C41F5A"/>
    <w:rsid w:val="00CE576B"/>
    <w:rsid w:val="00CF5EFA"/>
    <w:rsid w:val="00D76C06"/>
    <w:rsid w:val="00D944AD"/>
    <w:rsid w:val="00DD0C44"/>
    <w:rsid w:val="00E33B31"/>
    <w:rsid w:val="00E84A61"/>
    <w:rsid w:val="00EA63C4"/>
    <w:rsid w:val="00F1642F"/>
    <w:rsid w:val="00F72FD9"/>
    <w:rsid w:val="00FA60D8"/>
    <w:rsid w:val="0234554A"/>
    <w:rsid w:val="02DE5D0C"/>
    <w:rsid w:val="04D86FBD"/>
    <w:rsid w:val="08797D1A"/>
    <w:rsid w:val="0BBC7BB7"/>
    <w:rsid w:val="0EA70F68"/>
    <w:rsid w:val="0F88311B"/>
    <w:rsid w:val="10A52E5F"/>
    <w:rsid w:val="12783E34"/>
    <w:rsid w:val="12B32409"/>
    <w:rsid w:val="12F936FC"/>
    <w:rsid w:val="14D5771A"/>
    <w:rsid w:val="150463DD"/>
    <w:rsid w:val="1765559C"/>
    <w:rsid w:val="17DF6BFF"/>
    <w:rsid w:val="199F5C5B"/>
    <w:rsid w:val="1F1021BE"/>
    <w:rsid w:val="1F6E3082"/>
    <w:rsid w:val="207B24CA"/>
    <w:rsid w:val="20DB4CC1"/>
    <w:rsid w:val="20DE4EA2"/>
    <w:rsid w:val="212C1A6C"/>
    <w:rsid w:val="238774A0"/>
    <w:rsid w:val="24F6094E"/>
    <w:rsid w:val="2C977847"/>
    <w:rsid w:val="2CCD0D3B"/>
    <w:rsid w:val="2E132B1F"/>
    <w:rsid w:val="2E8846D0"/>
    <w:rsid w:val="2ECF11B1"/>
    <w:rsid w:val="30A74A32"/>
    <w:rsid w:val="32533714"/>
    <w:rsid w:val="33B457C9"/>
    <w:rsid w:val="33C32D3E"/>
    <w:rsid w:val="33F30DCA"/>
    <w:rsid w:val="341958C1"/>
    <w:rsid w:val="39331F5E"/>
    <w:rsid w:val="3C4601BF"/>
    <w:rsid w:val="3C771402"/>
    <w:rsid w:val="3EB532E4"/>
    <w:rsid w:val="3FC073EB"/>
    <w:rsid w:val="42FB4883"/>
    <w:rsid w:val="434817D0"/>
    <w:rsid w:val="43882E41"/>
    <w:rsid w:val="43BE43F8"/>
    <w:rsid w:val="43DD03C5"/>
    <w:rsid w:val="45142250"/>
    <w:rsid w:val="4701241C"/>
    <w:rsid w:val="48590F10"/>
    <w:rsid w:val="4875140C"/>
    <w:rsid w:val="4E377761"/>
    <w:rsid w:val="52E44984"/>
    <w:rsid w:val="561165EC"/>
    <w:rsid w:val="578B187E"/>
    <w:rsid w:val="57E85614"/>
    <w:rsid w:val="596C42E8"/>
    <w:rsid w:val="5A174C22"/>
    <w:rsid w:val="5B56274B"/>
    <w:rsid w:val="60F67682"/>
    <w:rsid w:val="64524588"/>
    <w:rsid w:val="686B47F9"/>
    <w:rsid w:val="6960234A"/>
    <w:rsid w:val="698F12C6"/>
    <w:rsid w:val="6BBE1F5D"/>
    <w:rsid w:val="6D220D1D"/>
    <w:rsid w:val="71563364"/>
    <w:rsid w:val="73505E05"/>
    <w:rsid w:val="73813853"/>
    <w:rsid w:val="79803BBE"/>
    <w:rsid w:val="79A8246B"/>
    <w:rsid w:val="79ED46CE"/>
    <w:rsid w:val="7A0B6E08"/>
    <w:rsid w:val="7BB579BD"/>
    <w:rsid w:val="7C2E6E38"/>
    <w:rsid w:val="7FCF5070"/>
    <w:rsid w:val="7FF8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 w:type="paragraph" w:styleId="3">
    <w:name w:val="Balloon Text"/>
    <w:basedOn w:val="1"/>
    <w:link w:val="15"/>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pPr>
    <w:rPr>
      <w:rFonts w:ascii="宋体" w:hAnsi="宋体" w:cs="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qFormat/>
    <w:uiPriority w:val="0"/>
    <w:rPr>
      <w:color w:val="800080"/>
      <w:sz w:val="24"/>
      <w:szCs w:val="24"/>
      <w:u w:val="none"/>
      <w:vertAlign w:val="baseline"/>
    </w:rPr>
  </w:style>
  <w:style w:type="character" w:styleId="12">
    <w:name w:val="Emphasis"/>
    <w:basedOn w:val="9"/>
    <w:qFormat/>
    <w:uiPriority w:val="0"/>
  </w:style>
  <w:style w:type="character" w:styleId="13">
    <w:name w:val="Hyperlink"/>
    <w:basedOn w:val="9"/>
    <w:qFormat/>
    <w:uiPriority w:val="0"/>
    <w:rPr>
      <w:color w:val="0000FF"/>
      <w:sz w:val="24"/>
      <w:szCs w:val="24"/>
      <w:u w:val="none"/>
      <w:vertAlign w:val="baseline"/>
    </w:rPr>
  </w:style>
  <w:style w:type="paragraph" w:styleId="14">
    <w:name w:val="List Paragraph"/>
    <w:basedOn w:val="1"/>
    <w:unhideWhenUsed/>
    <w:qFormat/>
    <w:uiPriority w:val="99"/>
    <w:pPr>
      <w:ind w:firstLine="420" w:firstLineChars="200"/>
    </w:pPr>
  </w:style>
  <w:style w:type="character" w:customStyle="1" w:styleId="15">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6">
    <w:name w:val="页眉 Char"/>
    <w:basedOn w:val="9"/>
    <w:link w:val="5"/>
    <w:qFormat/>
    <w:uiPriority w:val="0"/>
    <w:rPr>
      <w:rFonts w:asciiTheme="minorHAnsi" w:hAnsiTheme="minorHAnsi" w:eastAsiaTheme="minorEastAsia" w:cstheme="minorBidi"/>
      <w:kern w:val="2"/>
      <w:sz w:val="18"/>
      <w:szCs w:val="18"/>
    </w:rPr>
  </w:style>
  <w:style w:type="character" w:customStyle="1" w:styleId="17">
    <w:name w:val="页脚 Char"/>
    <w:basedOn w:val="9"/>
    <w:link w:val="4"/>
    <w:qFormat/>
    <w:uiPriority w:val="0"/>
    <w:rPr>
      <w:rFonts w:asciiTheme="minorHAnsi" w:hAnsiTheme="minorHAnsi" w:eastAsiaTheme="minorEastAsia" w:cstheme="minorBidi"/>
      <w:kern w:val="2"/>
      <w:sz w:val="18"/>
      <w:szCs w:val="18"/>
    </w:rPr>
  </w:style>
  <w:style w:type="character" w:customStyle="1" w:styleId="18">
    <w:name w:val="first-child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升水</Company>
  <Pages>4</Pages>
  <Words>2193</Words>
  <Characters>2364</Characters>
  <Lines>13</Lines>
  <Paragraphs>3</Paragraphs>
  <TotalTime>0</TotalTime>
  <ScaleCrop>false</ScaleCrop>
  <LinksUpToDate>false</LinksUpToDate>
  <CharactersWithSpaces>2390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2016-08-03T09:36:00Z</dcterms:created>
  <dc:creator>weiping</dc:creator>
  <cp:lastModifiedBy>沈忱</cp:lastModifiedBy>
  <cp:lastPrinted>2020-07-06T01:00:00Z</cp:lastPrinted>
  <dcterms:modified xsi:type="dcterms:W3CDTF">2022-09-20T02:22:19Z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A4E7B2583A95435FBDF4D4C5FAD65EC1</vt:lpwstr>
  </property>
</Properties>
</file>