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210" w:rightChars="100"/>
        <w:jc w:val="center"/>
        <w:rPr>
          <w:rFonts w:ascii="华文行楷" w:hAnsi="宋体" w:eastAsia="华文行楷"/>
          <w:b/>
          <w:bCs/>
          <w:kern w:val="0"/>
          <w:sz w:val="44"/>
          <w:szCs w:val="44"/>
        </w:rPr>
      </w:pPr>
      <w:r>
        <w:rPr>
          <w:rFonts w:hint="eastAsia" w:ascii="华文行楷" w:hAnsi="宋体" w:eastAsia="华文行楷"/>
          <w:b/>
          <w:bCs/>
          <w:kern w:val="0"/>
          <w:sz w:val="44"/>
          <w:szCs w:val="44"/>
        </w:rPr>
        <w:t>衢州职业技术学院</w:t>
      </w:r>
    </w:p>
    <w:p>
      <w:pPr>
        <w:spacing w:line="440" w:lineRule="exact"/>
        <w:ind w:right="210" w:rightChars="100"/>
        <w:jc w:val="center"/>
        <w:rPr>
          <w:rFonts w:ascii="宋体" w:hAnsi="宋体"/>
          <w:b/>
          <w:bCs/>
          <w:sz w:val="32"/>
          <w:szCs w:val="32"/>
        </w:rPr>
      </w:pPr>
      <w:r>
        <w:rPr>
          <w:rFonts w:hint="eastAsia" w:ascii="宋体" w:hAnsi="宋体"/>
          <w:b/>
          <w:bCs/>
          <w:kern w:val="0"/>
          <w:sz w:val="32"/>
          <w:szCs w:val="32"/>
        </w:rPr>
        <w:t>继续教育学院2022年成人高等教育招生</w:t>
      </w:r>
      <w:r>
        <w:rPr>
          <w:rFonts w:hint="eastAsia" w:ascii="宋体" w:hAnsi="宋体"/>
          <w:b/>
          <w:bCs/>
          <w:sz w:val="32"/>
          <w:szCs w:val="32"/>
        </w:rPr>
        <w:t>简章</w:t>
      </w:r>
    </w:p>
    <w:p>
      <w:pPr>
        <w:ind w:left="210" w:leftChars="100" w:right="210" w:rightChars="100" w:firstLine="420"/>
        <w:jc w:val="center"/>
        <w:rPr>
          <w:rFonts w:ascii="宋体" w:hAnsi="宋体" w:cs="宋体"/>
          <w:kern w:val="0"/>
          <w:szCs w:val="21"/>
        </w:rPr>
      </w:pPr>
      <w:r>
        <w:rPr>
          <w:rFonts w:hint="eastAsia" w:ascii="宋体" w:hAnsi="宋体" w:cs="宋体"/>
          <w:kern w:val="0"/>
          <w:szCs w:val="21"/>
        </w:rPr>
        <w:t>（招生省代码：605 ）</w:t>
      </w:r>
    </w:p>
    <w:p>
      <w:pPr>
        <w:ind w:left="210" w:leftChars="100" w:right="210" w:rightChars="100" w:firstLine="420"/>
        <w:jc w:val="center"/>
        <w:rPr>
          <w:rFonts w:ascii="宋体" w:hAnsi="宋体" w:cs="宋体"/>
          <w:kern w:val="0"/>
          <w:szCs w:val="21"/>
        </w:rPr>
      </w:pPr>
    </w:p>
    <w:p>
      <w:pPr>
        <w:spacing w:line="440" w:lineRule="exact"/>
        <w:ind w:firstLine="472" w:firstLineChars="196"/>
        <w:rPr>
          <w:b/>
          <w:sz w:val="24"/>
        </w:rPr>
      </w:pPr>
      <w:r>
        <w:rPr>
          <w:rFonts w:hint="eastAsia"/>
          <w:b/>
          <w:sz w:val="24"/>
        </w:rPr>
        <w:t>一、衢职印象</w:t>
      </w:r>
    </w:p>
    <w:p>
      <w:pPr>
        <w:spacing w:line="440" w:lineRule="exact"/>
        <w:ind w:firstLine="420" w:firstLineChars="200"/>
        <w:rPr>
          <w:rFonts w:hint="eastAsia" w:ascii="微软雅黑" w:hAnsi="微软雅黑" w:eastAsia="微软雅黑" w:cs="微软雅黑"/>
          <w:szCs w:val="21"/>
          <w:shd w:val="clear" w:color="auto" w:fill="C9E7FF"/>
        </w:rPr>
      </w:pPr>
      <w:r>
        <w:rPr>
          <w:rFonts w:hint="eastAsia" w:asciiTheme="minorEastAsia" w:hAnsiTheme="minorEastAsia" w:eastAsiaTheme="minorEastAsia"/>
        </w:rPr>
        <w:t>衢州职业技术学院是2002年经浙江省人民政府批准成立的公办全日制高等职业院校，学校主要培养面向生产、建设、管理、服务第一线的技术技能人才，设有医学院、艺术设计学院、经济管理学院、信息工程学院、机电工程学院、文化旅游学院、</w:t>
      </w:r>
      <w:r>
        <w:rPr>
          <w:rFonts w:hint="eastAsia" w:asciiTheme="minorEastAsia" w:hAnsiTheme="minorEastAsia" w:eastAsiaTheme="minorEastAsia"/>
          <w:lang w:val="en-US" w:eastAsia="zh-CN"/>
        </w:rPr>
        <w:t>华友新新</w:t>
      </w:r>
      <w:r>
        <w:rPr>
          <w:rFonts w:ascii="Arial" w:hAnsi="Arial" w:cs="Arial"/>
          <w:color w:val="333333"/>
          <w:szCs w:val="21"/>
        </w:rPr>
        <w:t>材料学院、</w:t>
      </w:r>
      <w:r>
        <w:rPr>
          <w:rFonts w:hint="eastAsia" w:asciiTheme="minorEastAsia" w:hAnsiTheme="minorEastAsia" w:eastAsiaTheme="minorEastAsia"/>
        </w:rPr>
        <w:t>继续教育学院等</w:t>
      </w:r>
      <w:r>
        <w:rPr>
          <w:rFonts w:asciiTheme="minorEastAsia" w:hAnsiTheme="minorEastAsia" w:eastAsiaTheme="minorEastAsia"/>
        </w:rPr>
        <w:t>8</w:t>
      </w:r>
      <w:r>
        <w:rPr>
          <w:rFonts w:hint="eastAsia" w:asciiTheme="minorEastAsia" w:hAnsiTheme="minorEastAsia" w:eastAsiaTheme="minorEastAsia"/>
        </w:rPr>
        <w:t>个二级学院2</w:t>
      </w:r>
      <w:r>
        <w:rPr>
          <w:rFonts w:asciiTheme="minorEastAsia" w:hAnsiTheme="minorEastAsia" w:eastAsiaTheme="minorEastAsia"/>
        </w:rPr>
        <w:t>5</w:t>
      </w:r>
      <w:r>
        <w:rPr>
          <w:rFonts w:hint="eastAsia" w:asciiTheme="minorEastAsia" w:hAnsiTheme="minorEastAsia" w:eastAsiaTheme="minorEastAsia"/>
        </w:rPr>
        <w:t>个高职专业，现有教</w:t>
      </w:r>
      <w:r>
        <w:rPr>
          <w:rFonts w:hint="eastAsia" w:asciiTheme="minorEastAsia" w:hAnsiTheme="minorEastAsia" w:eastAsiaTheme="minorEastAsia"/>
          <w:color w:val="auto"/>
        </w:rPr>
        <w:t>职工4</w:t>
      </w:r>
      <w:r>
        <w:rPr>
          <w:rFonts w:asciiTheme="minorEastAsia" w:hAnsiTheme="minorEastAsia" w:eastAsiaTheme="minorEastAsia"/>
          <w:color w:val="auto"/>
        </w:rPr>
        <w:t>95</w:t>
      </w:r>
      <w:r>
        <w:rPr>
          <w:rFonts w:hint="eastAsia" w:asciiTheme="minorEastAsia" w:hAnsiTheme="minorEastAsia" w:eastAsiaTheme="minorEastAsia"/>
          <w:color w:val="auto"/>
        </w:rPr>
        <w:t>人，全日制在校学生6800余人，学历继续教育学生2600余人，学校毕业生受到社会各届的广泛认可。学</w:t>
      </w:r>
      <w:r>
        <w:rPr>
          <w:rFonts w:hint="eastAsia" w:asciiTheme="minorEastAsia" w:hAnsiTheme="minorEastAsia" w:eastAsiaTheme="minorEastAsia"/>
        </w:rPr>
        <w:t>校设有浙闽赣皖四省边际职业培训联盟、衢州农民学院、衢州乡村振兴学院、衢州共富学院、衢州女子学院、衢州市退役军人学院、衢州文创（影视）学院、衢州市智慧新城老年大学等社会培训平台，</w:t>
      </w:r>
      <w:r>
        <w:rPr>
          <w:rFonts w:ascii="Arial" w:hAnsi="Arial" w:cs="Arial"/>
          <w:color w:val="333333"/>
          <w:szCs w:val="21"/>
        </w:rPr>
        <w:t>以“衢职培训”为名片，拥有“衢州月嫂”“衢州有礼”“衢州乡旅”三大培训品牌，</w:t>
      </w:r>
      <w:r>
        <w:rPr>
          <w:rFonts w:hint="eastAsia" w:asciiTheme="minorEastAsia" w:hAnsiTheme="minorEastAsia" w:eastAsiaTheme="minorEastAsia"/>
        </w:rPr>
        <w:t>充分发挥自身优势主动服务地方经济社会发展，共同致力于高素质技能型人才的培养，热忱欢迎您报考衢州职业技术学院!</w:t>
      </w:r>
    </w:p>
    <w:p>
      <w:pPr>
        <w:spacing w:line="440" w:lineRule="exact"/>
        <w:ind w:firstLine="0" w:firstLineChars="0"/>
        <w:rPr>
          <w:rFonts w:hint="eastAsia"/>
          <w:b/>
          <w:sz w:val="24"/>
        </w:rPr>
      </w:pPr>
    </w:p>
    <w:p>
      <w:pPr>
        <w:spacing w:line="440" w:lineRule="exact"/>
        <w:ind w:firstLine="482" w:firstLineChars="200"/>
        <w:rPr>
          <w:b/>
          <w:sz w:val="24"/>
        </w:rPr>
      </w:pPr>
      <w:r>
        <w:rPr>
          <w:rFonts w:hint="eastAsia"/>
          <w:b/>
          <w:sz w:val="24"/>
        </w:rPr>
        <w:t>二、2022成人高等教育招生专业</w:t>
      </w:r>
    </w:p>
    <w:tbl>
      <w:tblPr>
        <w:tblStyle w:val="9"/>
        <w:tblpPr w:leftFromText="180" w:rightFromText="180" w:vertAnchor="text" w:horzAnchor="page" w:tblpX="1657" w:tblpY="392"/>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141"/>
        <w:gridCol w:w="813"/>
        <w:gridCol w:w="700"/>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420" w:type="dxa"/>
            <w:tcBorders>
              <w:bottom w:val="nil"/>
              <w:tl2br w:val="nil"/>
              <w:tr2bl w:val="nil"/>
            </w:tcBorders>
            <w:shd w:val="clear" w:color="auto" w:fill="FFFFFF" w:themeFill="background1"/>
            <w:noWrap/>
            <w:vAlign w:val="center"/>
          </w:tcPr>
          <w:p>
            <w:pPr>
              <w:widowControl/>
              <w:spacing w:line="4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141" w:type="dxa"/>
            <w:tcBorders>
              <w:bottom w:val="nil"/>
              <w:tl2br w:val="nil"/>
              <w:tr2bl w:val="nil"/>
            </w:tcBorders>
            <w:shd w:val="clear" w:color="auto" w:fill="FFFFFF" w:themeFill="background1"/>
            <w:noWrap/>
            <w:vAlign w:val="center"/>
          </w:tcPr>
          <w:p>
            <w:pPr>
              <w:widowControl/>
              <w:spacing w:line="440" w:lineRule="exact"/>
              <w:jc w:val="center"/>
              <w:rPr>
                <w:rFonts w:ascii="宋体" w:hAnsi="宋体" w:cs="宋体"/>
                <w:b/>
                <w:bCs/>
                <w:kern w:val="0"/>
                <w:sz w:val="18"/>
                <w:szCs w:val="18"/>
              </w:rPr>
            </w:pPr>
            <w:r>
              <w:rPr>
                <w:rFonts w:hint="eastAsia" w:ascii="宋体" w:hAnsi="宋体" w:cs="宋体"/>
                <w:b/>
                <w:bCs/>
                <w:kern w:val="0"/>
                <w:sz w:val="18"/>
                <w:szCs w:val="18"/>
              </w:rPr>
              <w:t>专业名称</w:t>
            </w:r>
          </w:p>
        </w:tc>
        <w:tc>
          <w:tcPr>
            <w:tcW w:w="813" w:type="dxa"/>
            <w:tcBorders>
              <w:bottom w:val="nil"/>
              <w:tl2br w:val="nil"/>
              <w:tr2bl w:val="nil"/>
            </w:tcBorders>
            <w:shd w:val="clear" w:color="auto" w:fill="FFFFFF" w:themeFill="background1"/>
            <w:noWrap/>
            <w:vAlign w:val="center"/>
          </w:tcPr>
          <w:p>
            <w:pPr>
              <w:widowControl/>
              <w:spacing w:line="440" w:lineRule="exact"/>
              <w:jc w:val="center"/>
              <w:rPr>
                <w:rFonts w:ascii="宋体" w:hAnsi="宋体" w:cs="宋体"/>
                <w:b/>
                <w:bCs/>
                <w:kern w:val="0"/>
                <w:sz w:val="18"/>
                <w:szCs w:val="18"/>
              </w:rPr>
            </w:pPr>
            <w:r>
              <w:rPr>
                <w:rFonts w:hint="eastAsia" w:ascii="宋体" w:hAnsi="宋体" w:cs="宋体"/>
                <w:b/>
                <w:bCs/>
                <w:kern w:val="0"/>
                <w:sz w:val="18"/>
                <w:szCs w:val="18"/>
              </w:rPr>
              <w:t>科类</w:t>
            </w:r>
          </w:p>
        </w:tc>
        <w:tc>
          <w:tcPr>
            <w:tcW w:w="700" w:type="dxa"/>
            <w:tcBorders>
              <w:bottom w:val="nil"/>
              <w:tl2br w:val="nil"/>
              <w:tr2bl w:val="nil"/>
            </w:tcBorders>
            <w:shd w:val="clear" w:color="auto" w:fill="FFFFFF" w:themeFill="background1"/>
            <w:noWrap/>
            <w:vAlign w:val="center"/>
          </w:tcPr>
          <w:p>
            <w:pPr>
              <w:widowControl/>
              <w:spacing w:line="440" w:lineRule="exact"/>
              <w:jc w:val="center"/>
              <w:rPr>
                <w:rFonts w:hint="eastAsia" w:ascii="宋体" w:hAnsi="宋体" w:cs="宋体"/>
                <w:b/>
                <w:bCs/>
                <w:kern w:val="0"/>
                <w:sz w:val="18"/>
                <w:szCs w:val="18"/>
              </w:rPr>
            </w:pPr>
            <w:r>
              <w:rPr>
                <w:rFonts w:hint="eastAsia" w:ascii="宋体" w:hAnsi="宋体" w:cs="宋体"/>
                <w:b/>
                <w:bCs/>
                <w:kern w:val="0"/>
                <w:sz w:val="18"/>
                <w:szCs w:val="18"/>
              </w:rPr>
              <w:t>学习</w:t>
            </w:r>
          </w:p>
          <w:p>
            <w:pPr>
              <w:widowControl/>
              <w:spacing w:line="440" w:lineRule="exact"/>
              <w:jc w:val="center"/>
              <w:rPr>
                <w:rFonts w:ascii="宋体" w:hAnsi="宋体" w:cs="宋体"/>
                <w:b/>
                <w:bCs/>
                <w:kern w:val="0"/>
                <w:sz w:val="18"/>
                <w:szCs w:val="18"/>
              </w:rPr>
            </w:pPr>
            <w:r>
              <w:rPr>
                <w:rFonts w:hint="eastAsia" w:ascii="宋体" w:hAnsi="宋体" w:cs="宋体"/>
                <w:b/>
                <w:bCs/>
                <w:kern w:val="0"/>
                <w:sz w:val="18"/>
                <w:szCs w:val="18"/>
              </w:rPr>
              <w:t>形式</w:t>
            </w:r>
          </w:p>
        </w:tc>
        <w:tc>
          <w:tcPr>
            <w:tcW w:w="6100" w:type="dxa"/>
            <w:tcBorders>
              <w:bottom w:val="nil"/>
              <w:tl2br w:val="nil"/>
              <w:tr2bl w:val="nil"/>
            </w:tcBorders>
            <w:shd w:val="clear" w:color="auto" w:fill="FFFFFF" w:themeFill="background1"/>
            <w:noWrap/>
            <w:vAlign w:val="center"/>
          </w:tcPr>
          <w:p>
            <w:pPr>
              <w:widowControl/>
              <w:spacing w:line="440" w:lineRule="exact"/>
              <w:jc w:val="center"/>
              <w:rPr>
                <w:rFonts w:ascii="宋体" w:hAnsi="宋体" w:cs="宋体"/>
                <w:b/>
                <w:bCs/>
                <w:kern w:val="0"/>
                <w:sz w:val="18"/>
                <w:szCs w:val="18"/>
              </w:rPr>
            </w:pPr>
            <w:r>
              <w:rPr>
                <w:rFonts w:hint="eastAsia" w:ascii="宋体" w:hAnsi="宋体" w:cs="宋体"/>
                <w:b/>
                <w:bCs/>
                <w:kern w:val="0"/>
                <w:sz w:val="18"/>
                <w:szCs w:val="18"/>
              </w:rPr>
              <w:t>主要课程设置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0" w:type="dxa"/>
            <w:tcBorders>
              <w:tl2br w:val="nil"/>
              <w:tr2bl w:val="nil"/>
            </w:tcBorders>
            <w:shd w:val="clear" w:color="000000" w:fill="FFFFFF" w:themeFill="background1"/>
            <w:noWrap/>
            <w:vAlign w:val="center"/>
          </w:tcPr>
          <w:p>
            <w:pPr>
              <w:widowControl/>
              <w:spacing w:line="440" w:lineRule="exact"/>
              <w:jc w:val="center"/>
              <w:rPr>
                <w:rFonts w:ascii="宋体" w:hAnsi="宋体" w:cs="宋体"/>
                <w:b w:val="0"/>
                <w:bCs w:val="0"/>
                <w:kern w:val="0"/>
                <w:sz w:val="18"/>
                <w:szCs w:val="18"/>
              </w:rPr>
            </w:pPr>
            <w:r>
              <w:rPr>
                <w:rFonts w:hint="eastAsia" w:ascii="宋体" w:hAnsi="宋体" w:cs="宋体"/>
                <w:b/>
                <w:bCs/>
                <w:kern w:val="0"/>
                <w:sz w:val="18"/>
                <w:szCs w:val="18"/>
              </w:rPr>
              <w:t>1</w:t>
            </w:r>
          </w:p>
        </w:tc>
        <w:tc>
          <w:tcPr>
            <w:tcW w:w="1141"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机电一体化技术</w:t>
            </w:r>
          </w:p>
        </w:tc>
        <w:tc>
          <w:tcPr>
            <w:tcW w:w="813"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理工类</w:t>
            </w:r>
          </w:p>
        </w:tc>
        <w:tc>
          <w:tcPr>
            <w:tcW w:w="700"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函授</w:t>
            </w:r>
          </w:p>
        </w:tc>
        <w:tc>
          <w:tcPr>
            <w:tcW w:w="6100" w:type="dxa"/>
            <w:tcBorders>
              <w:tl2br w:val="nil"/>
              <w:tr2bl w:val="nil"/>
            </w:tcBorders>
            <w:shd w:val="clear" w:color="000000" w:fill="FFFFFF" w:themeFill="background1"/>
            <w:noWrap/>
            <w:vAlign w:val="center"/>
          </w:tcPr>
          <w:p>
            <w:pPr>
              <w:widowControl/>
              <w:spacing w:line="440" w:lineRule="exact"/>
              <w:jc w:val="left"/>
              <w:rPr>
                <w:rFonts w:ascii="宋体" w:hAnsi="宋体" w:cs="宋体"/>
                <w:kern w:val="0"/>
                <w:sz w:val="18"/>
                <w:szCs w:val="18"/>
              </w:rPr>
            </w:pPr>
            <w:r>
              <w:rPr>
                <w:rFonts w:hint="eastAsia"/>
                <w:color w:val="000000"/>
                <w:sz w:val="18"/>
                <w:szCs w:val="18"/>
              </w:rPr>
              <w:t>毛泽东思想和中国特色社会主义理论体系概论</w:t>
            </w:r>
            <w:r>
              <w:rPr>
                <w:rFonts w:hint="eastAsia"/>
                <w:color w:val="000000"/>
                <w:sz w:val="18"/>
                <w:szCs w:val="18"/>
                <w:lang w:eastAsia="zh-CN"/>
              </w:rPr>
              <w:t>、</w:t>
            </w:r>
            <w:r>
              <w:rPr>
                <w:rFonts w:hint="eastAsia"/>
                <w:color w:val="000000"/>
                <w:sz w:val="18"/>
                <w:szCs w:val="18"/>
              </w:rPr>
              <w:t>大学英语</w:t>
            </w:r>
            <w:r>
              <w:rPr>
                <w:rFonts w:hint="eastAsia"/>
                <w:color w:val="000000"/>
                <w:sz w:val="18"/>
                <w:szCs w:val="18"/>
                <w:lang w:eastAsia="zh-CN"/>
              </w:rPr>
              <w:t>、</w:t>
            </w:r>
            <w:r>
              <w:rPr>
                <w:rFonts w:hint="eastAsia"/>
                <w:color w:val="000000"/>
                <w:sz w:val="18"/>
                <w:szCs w:val="18"/>
              </w:rPr>
              <w:t>高等数学</w:t>
            </w:r>
            <w:r>
              <w:rPr>
                <w:rFonts w:hint="eastAsia"/>
                <w:color w:val="000000"/>
                <w:sz w:val="18"/>
                <w:szCs w:val="18"/>
                <w:lang w:eastAsia="zh-CN"/>
              </w:rPr>
              <w:t>、</w:t>
            </w:r>
            <w:r>
              <w:rPr>
                <w:rFonts w:hint="eastAsia"/>
                <w:color w:val="000000"/>
                <w:sz w:val="18"/>
                <w:szCs w:val="18"/>
              </w:rPr>
              <w:t>计算机应用基础</w:t>
            </w:r>
            <w:r>
              <w:rPr>
                <w:rFonts w:hint="eastAsia"/>
                <w:color w:val="000000"/>
                <w:sz w:val="18"/>
                <w:szCs w:val="18"/>
                <w:lang w:eastAsia="zh-CN"/>
              </w:rPr>
              <w:t>、</w:t>
            </w:r>
            <w:r>
              <w:rPr>
                <w:rFonts w:hint="eastAsia" w:ascii="宋体" w:hAnsi="宋体"/>
                <w:color w:val="000000"/>
                <w:sz w:val="18"/>
                <w:szCs w:val="18"/>
              </w:rPr>
              <w:t>电工电子技术</w:t>
            </w:r>
            <w:r>
              <w:rPr>
                <w:rFonts w:hint="eastAsia" w:ascii="宋体" w:hAnsi="宋体"/>
                <w:color w:val="000000"/>
                <w:sz w:val="18"/>
                <w:szCs w:val="18"/>
                <w:lang w:eastAsia="zh-CN"/>
              </w:rPr>
              <w:t>、</w:t>
            </w:r>
            <w:r>
              <w:rPr>
                <w:rFonts w:hint="eastAsia"/>
                <w:color w:val="000000"/>
                <w:sz w:val="18"/>
                <w:szCs w:val="18"/>
              </w:rPr>
              <w:t>机械制图</w:t>
            </w:r>
            <w:r>
              <w:rPr>
                <w:rFonts w:hint="eastAsia"/>
                <w:color w:val="000000"/>
                <w:sz w:val="18"/>
                <w:szCs w:val="18"/>
                <w:lang w:eastAsia="zh-CN"/>
              </w:rPr>
              <w:t>、</w:t>
            </w:r>
            <w:r>
              <w:rPr>
                <w:rFonts w:hint="eastAsia" w:ascii="宋体" w:hAnsi="宋体"/>
                <w:sz w:val="18"/>
                <w:szCs w:val="18"/>
              </w:rPr>
              <w:t>机械设计基础</w:t>
            </w:r>
            <w:r>
              <w:rPr>
                <w:rFonts w:hint="eastAsia" w:ascii="宋体" w:hAnsi="宋体"/>
                <w:sz w:val="18"/>
                <w:szCs w:val="18"/>
                <w:lang w:eastAsia="zh-CN"/>
              </w:rPr>
              <w:t>、</w:t>
            </w:r>
            <w:r>
              <w:rPr>
                <w:rFonts w:hint="eastAsia" w:ascii="宋体" w:hAnsi="宋体"/>
                <w:sz w:val="18"/>
                <w:szCs w:val="18"/>
              </w:rPr>
              <w:t>机械制造基础</w:t>
            </w:r>
            <w:r>
              <w:rPr>
                <w:rFonts w:hint="eastAsia" w:ascii="宋体" w:hAnsi="宋体"/>
                <w:sz w:val="18"/>
                <w:szCs w:val="18"/>
                <w:lang w:eastAsia="zh-CN"/>
              </w:rPr>
              <w:t>、</w:t>
            </w:r>
            <w:r>
              <w:rPr>
                <w:rFonts w:hint="eastAsia"/>
                <w:sz w:val="18"/>
                <w:szCs w:val="18"/>
              </w:rPr>
              <w:t>液压与气动</w:t>
            </w:r>
            <w:r>
              <w:rPr>
                <w:rFonts w:hint="eastAsia"/>
                <w:sz w:val="18"/>
                <w:szCs w:val="18"/>
                <w:lang w:eastAsia="zh-CN"/>
              </w:rPr>
              <w:t>、</w:t>
            </w:r>
            <w:r>
              <w:rPr>
                <w:rFonts w:hint="eastAsia" w:ascii="宋体" w:hAnsi="宋体"/>
                <w:sz w:val="18"/>
                <w:szCs w:val="18"/>
              </w:rPr>
              <w:t>单片机原理及应用</w:t>
            </w:r>
            <w:r>
              <w:rPr>
                <w:rFonts w:hint="eastAsia" w:ascii="宋体" w:hAnsi="宋体"/>
                <w:sz w:val="18"/>
                <w:szCs w:val="18"/>
                <w:lang w:eastAsia="zh-CN"/>
              </w:rPr>
              <w:t>、</w:t>
            </w:r>
            <w:r>
              <w:rPr>
                <w:rFonts w:hint="eastAsia" w:ascii="Times New Roman" w:hAnsi="Times New Roman" w:eastAsia="宋体" w:cs="Times New Roman"/>
                <w:sz w:val="18"/>
                <w:szCs w:val="18"/>
              </w:rPr>
              <w:t>电机与电气控制</w:t>
            </w:r>
            <w:r>
              <w:rPr>
                <w:rFonts w:hint="eastAsia" w:cs="Times New Roman"/>
                <w:sz w:val="18"/>
                <w:szCs w:val="18"/>
                <w:lang w:eastAsia="zh-CN"/>
              </w:rPr>
              <w:t>、</w:t>
            </w:r>
            <w:r>
              <w:rPr>
                <w:rFonts w:hint="eastAsia" w:ascii="Times New Roman" w:hAnsi="Times New Roman" w:eastAsia="宋体" w:cs="Times New Roman"/>
                <w:sz w:val="18"/>
                <w:szCs w:val="18"/>
              </w:rPr>
              <w:t>自动化生产线安装与调试</w:t>
            </w:r>
            <w:r>
              <w:rPr>
                <w:rFonts w:hint="eastAsia" w:cs="Times New Roman"/>
                <w:sz w:val="18"/>
                <w:szCs w:val="18"/>
                <w:lang w:eastAsia="zh-CN"/>
              </w:rPr>
              <w:t>、</w:t>
            </w:r>
            <w:r>
              <w:rPr>
                <w:rFonts w:hint="eastAsia" w:ascii="Times New Roman" w:hAnsi="Times New Roman" w:eastAsia="宋体" w:cs="Times New Roman"/>
                <w:sz w:val="18"/>
                <w:szCs w:val="18"/>
              </w:rPr>
              <w:t>编程控制器及其应用</w:t>
            </w:r>
            <w:r>
              <w:rPr>
                <w:rFonts w:hint="eastAsia" w:cs="Times New Roman"/>
                <w:sz w:val="18"/>
                <w:szCs w:val="18"/>
                <w:lang w:eastAsia="zh-CN"/>
              </w:rPr>
              <w:t>、</w:t>
            </w:r>
            <w:r>
              <w:rPr>
                <w:rFonts w:hint="eastAsia" w:ascii="Times New Roman" w:hAnsi="Times New Roman" w:eastAsia="宋体" w:cs="Times New Roman"/>
                <w:sz w:val="18"/>
                <w:szCs w:val="18"/>
              </w:rPr>
              <w:t>机电设备装配安装与维修</w:t>
            </w:r>
            <w:r>
              <w:rPr>
                <w:rFonts w:hint="eastAsia" w:cs="Times New Roman"/>
                <w:sz w:val="18"/>
                <w:szCs w:val="18"/>
                <w:lang w:eastAsia="zh-CN"/>
              </w:rPr>
              <w:t>、</w:t>
            </w:r>
            <w:r>
              <w:rPr>
                <w:rFonts w:hint="eastAsia"/>
                <w:color w:val="000000"/>
                <w:sz w:val="18"/>
                <w:szCs w:val="18"/>
              </w:rPr>
              <w:t>机械加工工艺与装备</w:t>
            </w:r>
            <w:r>
              <w:rPr>
                <w:rFonts w:hint="eastAsia"/>
                <w:color w:val="000000"/>
                <w:sz w:val="18"/>
                <w:szCs w:val="18"/>
                <w:lang w:eastAsia="zh-CN"/>
              </w:rPr>
              <w:t>、</w:t>
            </w:r>
            <w:r>
              <w:rPr>
                <w:rFonts w:hint="eastAsia"/>
                <w:sz w:val="18"/>
                <w:szCs w:val="18"/>
              </w:rPr>
              <w:t>人际沟通与交流</w:t>
            </w:r>
            <w:r>
              <w:rPr>
                <w:rFonts w:hint="eastAsia"/>
                <w:sz w:val="18"/>
                <w:szCs w:val="18"/>
                <w:lang w:eastAsia="zh-CN"/>
              </w:rPr>
              <w:t>、</w:t>
            </w:r>
            <w:r>
              <w:rPr>
                <w:sz w:val="18"/>
                <w:szCs w:val="18"/>
              </w:rPr>
              <w:t>国际贸易实务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0" w:type="dxa"/>
            <w:tcBorders>
              <w:tl2br w:val="nil"/>
              <w:tr2bl w:val="nil"/>
            </w:tcBorders>
            <w:shd w:val="clear" w:color="000000" w:fill="FFFFFF" w:themeFill="background1"/>
            <w:noWrap/>
            <w:vAlign w:val="center"/>
          </w:tcPr>
          <w:p>
            <w:pPr>
              <w:widowControl/>
              <w:spacing w:line="440" w:lineRule="exact"/>
              <w:jc w:val="center"/>
              <w:rPr>
                <w:rFonts w:ascii="宋体" w:hAnsi="宋体" w:cs="宋体"/>
                <w:b w:val="0"/>
                <w:bCs w:val="0"/>
                <w:kern w:val="0"/>
                <w:sz w:val="18"/>
                <w:szCs w:val="18"/>
              </w:rPr>
            </w:pPr>
            <w:r>
              <w:rPr>
                <w:rFonts w:hint="eastAsia" w:ascii="宋体" w:hAnsi="宋体" w:cs="宋体"/>
                <w:b/>
                <w:bCs/>
                <w:kern w:val="0"/>
                <w:sz w:val="18"/>
                <w:szCs w:val="18"/>
              </w:rPr>
              <w:t>2</w:t>
            </w:r>
          </w:p>
        </w:tc>
        <w:tc>
          <w:tcPr>
            <w:tcW w:w="1141"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汽车制造与试验技术</w:t>
            </w:r>
          </w:p>
        </w:tc>
        <w:tc>
          <w:tcPr>
            <w:tcW w:w="813"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理工类</w:t>
            </w:r>
          </w:p>
        </w:tc>
        <w:tc>
          <w:tcPr>
            <w:tcW w:w="700"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函授</w:t>
            </w:r>
          </w:p>
        </w:tc>
        <w:tc>
          <w:tcPr>
            <w:tcW w:w="6100" w:type="dxa"/>
            <w:tcBorders>
              <w:tl2br w:val="nil"/>
              <w:tr2bl w:val="nil"/>
            </w:tcBorders>
            <w:shd w:val="clear" w:color="000000" w:fill="FFFFFF" w:themeFill="background1"/>
            <w:noWrap/>
            <w:vAlign w:val="center"/>
          </w:tcPr>
          <w:p>
            <w:pPr>
              <w:widowControl/>
              <w:spacing w:line="440" w:lineRule="exact"/>
              <w:jc w:val="left"/>
              <w:rPr>
                <w:rFonts w:ascii="宋体" w:hAnsi="宋体" w:cs="宋体"/>
                <w:kern w:val="0"/>
                <w:sz w:val="18"/>
                <w:szCs w:val="18"/>
              </w:rPr>
            </w:pPr>
            <w:r>
              <w:rPr>
                <w:rFonts w:hint="eastAsia" w:ascii="宋体" w:hAnsi="宋体" w:cs="宋体"/>
                <w:color w:val="000000"/>
                <w:kern w:val="0"/>
                <w:sz w:val="18"/>
                <w:szCs w:val="18"/>
              </w:rPr>
              <w:t>毛泽东思想和中国特色社会主义理论体系概论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大学英语</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高等数学</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计算机应用基础</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highlight w:val="none"/>
              </w:rPr>
              <w:t>机械制图</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电工与电子技术</w:t>
            </w:r>
            <w:r>
              <w:rPr>
                <w:rFonts w:hint="eastAsia" w:ascii="宋体" w:hAnsi="宋体" w:cs="宋体"/>
                <w:color w:val="000000"/>
                <w:kern w:val="0"/>
                <w:sz w:val="18"/>
                <w:szCs w:val="18"/>
                <w:highlight w:val="none"/>
                <w:lang w:eastAsia="zh-CN"/>
              </w:rPr>
              <w:t>、</w:t>
            </w:r>
            <w:r>
              <w:rPr>
                <w:rFonts w:hint="eastAsia" w:ascii="宋体" w:hAnsi="宋体" w:eastAsia="宋体" w:cs="宋体"/>
                <w:color w:val="000000"/>
                <w:kern w:val="0"/>
                <w:sz w:val="18"/>
                <w:szCs w:val="18"/>
              </w:rPr>
              <w:t>二手车鉴定与评估</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机械基础</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汽车保险与理赔</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highlight w:val="none"/>
              </w:rPr>
              <w:t>发动机构造</w:t>
            </w:r>
            <w:r>
              <w:rPr>
                <w:rFonts w:hint="eastAsia" w:ascii="宋体" w:hAnsi="宋体" w:cs="宋体"/>
                <w:color w:val="000000"/>
                <w:kern w:val="0"/>
                <w:sz w:val="18"/>
                <w:szCs w:val="18"/>
                <w:highlight w:val="none"/>
                <w:lang w:eastAsia="zh-CN"/>
              </w:rPr>
              <w:t>、</w:t>
            </w:r>
            <w:r>
              <w:rPr>
                <w:rFonts w:hint="eastAsia" w:ascii="宋体" w:hAnsi="宋体" w:eastAsia="宋体" w:cs="宋体"/>
                <w:color w:val="000000"/>
                <w:kern w:val="0"/>
                <w:sz w:val="18"/>
                <w:szCs w:val="18"/>
                <w:highlight w:val="none"/>
              </w:rPr>
              <w:t>汽车底盘构造</w:t>
            </w:r>
            <w:r>
              <w:rPr>
                <w:rFonts w:hint="eastAsia" w:ascii="宋体" w:hAnsi="宋体" w:cs="宋体"/>
                <w:color w:val="000000"/>
                <w:kern w:val="0"/>
                <w:sz w:val="18"/>
                <w:szCs w:val="18"/>
                <w:highlight w:val="none"/>
                <w:lang w:eastAsia="zh-CN"/>
              </w:rPr>
              <w:t>、</w:t>
            </w:r>
            <w:r>
              <w:rPr>
                <w:rFonts w:hint="eastAsia" w:ascii="宋体" w:hAnsi="宋体" w:eastAsia="宋体" w:cs="宋体"/>
                <w:color w:val="000000"/>
                <w:kern w:val="0"/>
                <w:sz w:val="18"/>
                <w:szCs w:val="18"/>
              </w:rPr>
              <w:t>汽车故障诊断技术应用</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汽车服务工程</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rPr>
              <w:t>新能源汽车技术</w:t>
            </w:r>
            <w:r>
              <w:rPr>
                <w:rFonts w:hint="eastAsia" w:ascii="宋体" w:hAnsi="宋体" w:cs="宋体"/>
                <w:color w:val="000000"/>
                <w:kern w:val="0"/>
                <w:sz w:val="18"/>
                <w:szCs w:val="18"/>
                <w:lang w:eastAsia="zh-CN"/>
              </w:rPr>
              <w:t>、</w:t>
            </w:r>
            <w:r>
              <w:rPr>
                <w:rFonts w:hint="eastAsia" w:ascii="宋体" w:hAnsi="宋体" w:eastAsia="宋体" w:cs="宋体"/>
                <w:color w:val="000000"/>
                <w:kern w:val="0"/>
                <w:sz w:val="18"/>
                <w:szCs w:val="18"/>
                <w:highlight w:val="none"/>
              </w:rPr>
              <w:t>汽车电器设备</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汽车网络技术</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汽车文化</w:t>
            </w:r>
            <w:r>
              <w:rPr>
                <w:rFonts w:hint="eastAsia" w:ascii="宋体" w:hAnsi="宋体" w:cs="宋体"/>
                <w:color w:val="000000"/>
                <w:kern w:val="0"/>
                <w:sz w:val="18"/>
                <w:szCs w:val="18"/>
                <w:highlight w:val="none"/>
                <w:lang w:eastAsia="zh-CN"/>
              </w:rPr>
              <w:t>、</w:t>
            </w:r>
            <w:r>
              <w:rPr>
                <w:rFonts w:hint="eastAsia"/>
                <w:sz w:val="18"/>
                <w:szCs w:val="18"/>
              </w:rPr>
              <w:t>人际沟通与交流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0" w:type="dxa"/>
            <w:tcBorders>
              <w:tl2br w:val="nil"/>
              <w:tr2bl w:val="nil"/>
            </w:tcBorders>
            <w:shd w:val="clear" w:color="000000" w:fill="FFFFFF" w:themeFill="background1"/>
            <w:noWrap/>
            <w:vAlign w:val="center"/>
          </w:tcPr>
          <w:p>
            <w:pPr>
              <w:widowControl/>
              <w:spacing w:line="440" w:lineRule="exact"/>
              <w:jc w:val="center"/>
              <w:rPr>
                <w:rFonts w:ascii="宋体" w:hAnsi="宋体" w:cs="宋体"/>
                <w:b w:val="0"/>
                <w:bCs w:val="0"/>
                <w:kern w:val="0"/>
                <w:sz w:val="18"/>
                <w:szCs w:val="18"/>
              </w:rPr>
            </w:pPr>
            <w:r>
              <w:rPr>
                <w:rFonts w:hint="eastAsia" w:ascii="宋体" w:hAnsi="宋体" w:cs="宋体"/>
                <w:b/>
                <w:bCs/>
                <w:kern w:val="0"/>
                <w:sz w:val="18"/>
                <w:szCs w:val="18"/>
              </w:rPr>
              <w:t>3</w:t>
            </w:r>
          </w:p>
        </w:tc>
        <w:tc>
          <w:tcPr>
            <w:tcW w:w="1141" w:type="dxa"/>
            <w:tcBorders>
              <w:tl2br w:val="nil"/>
              <w:tr2bl w:val="nil"/>
            </w:tcBorders>
            <w:shd w:val="clear" w:color="000000" w:fill="FFFFFF" w:themeFill="background1"/>
            <w:noWrap/>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应用电子</w:t>
            </w:r>
          </w:p>
          <w:p>
            <w:pPr>
              <w:widowControl/>
              <w:spacing w:line="440" w:lineRule="exact"/>
              <w:jc w:val="center"/>
              <w:rPr>
                <w:rFonts w:ascii="宋体" w:hAnsi="宋体" w:cs="宋体"/>
                <w:kern w:val="0"/>
                <w:sz w:val="18"/>
                <w:szCs w:val="18"/>
              </w:rPr>
            </w:pPr>
            <w:r>
              <w:rPr>
                <w:rFonts w:hint="eastAsia" w:ascii="宋体" w:hAnsi="宋体" w:cs="宋体"/>
                <w:kern w:val="0"/>
                <w:sz w:val="18"/>
                <w:szCs w:val="18"/>
              </w:rPr>
              <w:t>技术</w:t>
            </w:r>
          </w:p>
        </w:tc>
        <w:tc>
          <w:tcPr>
            <w:tcW w:w="813"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理工类</w:t>
            </w:r>
          </w:p>
        </w:tc>
        <w:tc>
          <w:tcPr>
            <w:tcW w:w="700"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函授</w:t>
            </w:r>
          </w:p>
        </w:tc>
        <w:tc>
          <w:tcPr>
            <w:tcW w:w="6100" w:type="dxa"/>
            <w:tcBorders>
              <w:tl2br w:val="nil"/>
              <w:tr2bl w:val="nil"/>
            </w:tcBorders>
            <w:shd w:val="clear" w:color="000000" w:fill="FFFFFF" w:themeFill="background1"/>
            <w:noWrap/>
            <w:vAlign w:val="center"/>
          </w:tcPr>
          <w:p>
            <w:pPr>
              <w:widowControl/>
              <w:spacing w:line="440" w:lineRule="exact"/>
              <w:jc w:val="left"/>
              <w:rPr>
                <w:rFonts w:ascii="宋体" w:hAnsi="宋体" w:cs="宋体"/>
                <w:kern w:val="0"/>
                <w:sz w:val="18"/>
                <w:szCs w:val="18"/>
              </w:rPr>
            </w:pPr>
            <w:r>
              <w:rPr>
                <w:rFonts w:hint="eastAsia" w:ascii="宋体" w:hAnsi="宋体" w:cs="宋体"/>
                <w:color w:val="000000"/>
                <w:kern w:val="0"/>
                <w:sz w:val="18"/>
                <w:szCs w:val="18"/>
              </w:rPr>
              <w:t>毛泽东思想和中国特色社会主义理论体系概论</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大学英语</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高等数学</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计算机应用基础</w:t>
            </w:r>
            <w:r>
              <w:rPr>
                <w:rFonts w:hint="eastAsia" w:ascii="宋体" w:hAnsi="宋体" w:cs="宋体"/>
                <w:color w:val="000000"/>
                <w:kern w:val="0"/>
                <w:sz w:val="18"/>
                <w:szCs w:val="18"/>
                <w:lang w:eastAsia="zh-CN"/>
              </w:rPr>
              <w:t>、</w:t>
            </w:r>
            <w:r>
              <w:rPr>
                <w:rFonts w:hint="eastAsia"/>
                <w:sz w:val="18"/>
                <w:szCs w:val="18"/>
              </w:rPr>
              <w:t>C语言程序设计</w:t>
            </w:r>
            <w:r>
              <w:rPr>
                <w:rFonts w:hint="eastAsia"/>
                <w:sz w:val="18"/>
                <w:szCs w:val="18"/>
                <w:lang w:eastAsia="zh-CN"/>
              </w:rPr>
              <w:t>、</w:t>
            </w:r>
            <w:r>
              <w:rPr>
                <w:rFonts w:hint="eastAsia"/>
                <w:sz w:val="18"/>
                <w:szCs w:val="18"/>
              </w:rPr>
              <w:t>电路分析基础</w:t>
            </w:r>
            <w:r>
              <w:rPr>
                <w:rFonts w:hint="eastAsia"/>
                <w:sz w:val="18"/>
                <w:szCs w:val="18"/>
                <w:lang w:eastAsia="zh-CN"/>
              </w:rPr>
              <w:t>、</w:t>
            </w:r>
            <w:r>
              <w:rPr>
                <w:rFonts w:hint="eastAsia"/>
                <w:sz w:val="18"/>
                <w:szCs w:val="18"/>
              </w:rPr>
              <w:t>电气工程制图与识图</w:t>
            </w:r>
            <w:r>
              <w:rPr>
                <w:rFonts w:hint="eastAsia"/>
                <w:sz w:val="18"/>
                <w:szCs w:val="18"/>
                <w:lang w:eastAsia="zh-CN"/>
              </w:rPr>
              <w:t>、</w:t>
            </w:r>
            <w:r>
              <w:rPr>
                <w:rFonts w:hint="eastAsia"/>
                <w:sz w:val="18"/>
                <w:szCs w:val="18"/>
              </w:rPr>
              <w:t>模拟电子电路分析与调试</w:t>
            </w:r>
            <w:r>
              <w:rPr>
                <w:rFonts w:hint="eastAsia"/>
                <w:sz w:val="18"/>
                <w:szCs w:val="18"/>
                <w:lang w:eastAsia="zh-CN"/>
              </w:rPr>
              <w:t>、</w:t>
            </w:r>
            <w:r>
              <w:rPr>
                <w:rFonts w:hint="eastAsia"/>
                <w:sz w:val="18"/>
                <w:szCs w:val="18"/>
              </w:rPr>
              <w:t>数字电子电路分析与调试</w:t>
            </w:r>
            <w:r>
              <w:rPr>
                <w:rFonts w:hint="eastAsia"/>
                <w:sz w:val="18"/>
                <w:szCs w:val="18"/>
                <w:lang w:eastAsia="zh-CN"/>
              </w:rPr>
              <w:t>、</w:t>
            </w:r>
            <w:r>
              <w:rPr>
                <w:rFonts w:hint="eastAsia"/>
                <w:sz w:val="18"/>
                <w:szCs w:val="18"/>
              </w:rPr>
              <w:t>电子产品生产工艺与管理</w:t>
            </w:r>
            <w:r>
              <w:rPr>
                <w:rFonts w:hint="eastAsia"/>
                <w:sz w:val="18"/>
                <w:szCs w:val="18"/>
                <w:lang w:eastAsia="zh-CN"/>
              </w:rPr>
              <w:t>、</w:t>
            </w:r>
            <w:r>
              <w:rPr>
                <w:rFonts w:hint="eastAsia"/>
                <w:sz w:val="18"/>
                <w:szCs w:val="18"/>
              </w:rPr>
              <w:t>微控制器选择与应用</w:t>
            </w:r>
            <w:r>
              <w:rPr>
                <w:rFonts w:hint="eastAsia"/>
                <w:sz w:val="18"/>
                <w:szCs w:val="18"/>
                <w:lang w:eastAsia="zh-CN"/>
              </w:rPr>
              <w:t>、</w:t>
            </w:r>
            <w:r>
              <w:rPr>
                <w:rFonts w:hint="eastAsia"/>
                <w:sz w:val="18"/>
                <w:szCs w:val="18"/>
              </w:rPr>
              <w:t>电子产品PCB设计与制作</w:t>
            </w:r>
            <w:r>
              <w:rPr>
                <w:rFonts w:hint="eastAsia"/>
                <w:sz w:val="18"/>
                <w:szCs w:val="18"/>
                <w:lang w:eastAsia="zh-CN"/>
              </w:rPr>
              <w:t>、</w:t>
            </w:r>
            <w:r>
              <w:rPr>
                <w:rFonts w:hint="eastAsia"/>
                <w:sz w:val="18"/>
                <w:szCs w:val="18"/>
              </w:rPr>
              <w:t>PLC应用技术</w:t>
            </w:r>
            <w:r>
              <w:rPr>
                <w:rFonts w:hint="eastAsia"/>
                <w:sz w:val="18"/>
                <w:szCs w:val="18"/>
                <w:lang w:eastAsia="zh-CN"/>
              </w:rPr>
              <w:t>、</w:t>
            </w:r>
            <w:r>
              <w:rPr>
                <w:rFonts w:hint="eastAsia"/>
                <w:sz w:val="18"/>
                <w:szCs w:val="18"/>
              </w:rPr>
              <w:t>自动控制理论基础</w:t>
            </w:r>
            <w:r>
              <w:rPr>
                <w:rFonts w:hint="eastAsia"/>
                <w:sz w:val="18"/>
                <w:szCs w:val="18"/>
                <w:lang w:eastAsia="zh-CN"/>
              </w:rPr>
              <w:t>、</w:t>
            </w:r>
            <w:r>
              <w:rPr>
                <w:rFonts w:hint="eastAsia"/>
                <w:sz w:val="18"/>
                <w:szCs w:val="18"/>
              </w:rPr>
              <w:t>电子仪器与测量</w:t>
            </w:r>
            <w:r>
              <w:rPr>
                <w:rFonts w:hint="eastAsia"/>
                <w:sz w:val="18"/>
                <w:szCs w:val="18"/>
                <w:lang w:eastAsia="zh-CN"/>
              </w:rPr>
              <w:t>、</w:t>
            </w:r>
            <w:r>
              <w:rPr>
                <w:rFonts w:hint="eastAsia" w:ascii="Times New Roman" w:hAnsi="Times New Roman" w:eastAsia="宋体" w:cs="Times New Roman"/>
                <w:sz w:val="18"/>
                <w:szCs w:val="18"/>
              </w:rPr>
              <w:t>短距离无线电技术</w:t>
            </w:r>
            <w:r>
              <w:rPr>
                <w:rFonts w:hint="eastAsia" w:cs="Times New Roman"/>
                <w:sz w:val="18"/>
                <w:szCs w:val="18"/>
                <w:lang w:eastAsia="zh-CN"/>
              </w:rPr>
              <w:t>、</w:t>
            </w:r>
            <w:r>
              <w:rPr>
                <w:rFonts w:hint="eastAsia"/>
                <w:sz w:val="18"/>
                <w:szCs w:val="18"/>
              </w:rPr>
              <w:t>电子产品质量管理</w:t>
            </w:r>
            <w:r>
              <w:rPr>
                <w:rFonts w:hint="eastAsia"/>
                <w:sz w:val="18"/>
                <w:szCs w:val="18"/>
                <w:lang w:eastAsia="zh-CN"/>
              </w:rPr>
              <w:t>、</w:t>
            </w:r>
            <w:r>
              <w:rPr>
                <w:rFonts w:hint="eastAsia"/>
                <w:sz w:val="18"/>
                <w:szCs w:val="18"/>
              </w:rPr>
              <w:t>人际沟通与交流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0" w:type="dxa"/>
            <w:tcBorders>
              <w:tl2br w:val="nil"/>
              <w:tr2bl w:val="nil"/>
            </w:tcBorders>
            <w:shd w:val="clear" w:color="000000" w:fill="FFFFFF" w:themeFill="background1"/>
            <w:noWrap/>
            <w:vAlign w:val="center"/>
          </w:tcPr>
          <w:p>
            <w:pPr>
              <w:widowControl/>
              <w:spacing w:line="440" w:lineRule="exact"/>
              <w:jc w:val="center"/>
              <w:rPr>
                <w:rFonts w:ascii="宋体" w:hAnsi="宋体" w:cs="宋体"/>
                <w:b w:val="0"/>
                <w:bCs w:val="0"/>
                <w:kern w:val="0"/>
                <w:sz w:val="18"/>
                <w:szCs w:val="18"/>
              </w:rPr>
            </w:pPr>
            <w:r>
              <w:rPr>
                <w:rFonts w:hint="eastAsia" w:ascii="宋体" w:hAnsi="宋体" w:cs="宋体"/>
                <w:b/>
                <w:bCs/>
                <w:kern w:val="0"/>
                <w:sz w:val="18"/>
                <w:szCs w:val="18"/>
              </w:rPr>
              <w:t>4</w:t>
            </w:r>
          </w:p>
        </w:tc>
        <w:tc>
          <w:tcPr>
            <w:tcW w:w="1141"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计算机应用技术</w:t>
            </w:r>
          </w:p>
        </w:tc>
        <w:tc>
          <w:tcPr>
            <w:tcW w:w="813"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理工类</w:t>
            </w:r>
          </w:p>
        </w:tc>
        <w:tc>
          <w:tcPr>
            <w:tcW w:w="700"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函授</w:t>
            </w:r>
          </w:p>
        </w:tc>
        <w:tc>
          <w:tcPr>
            <w:tcW w:w="6100" w:type="dxa"/>
            <w:tcBorders>
              <w:tl2br w:val="nil"/>
              <w:tr2bl w:val="nil"/>
            </w:tcBorders>
            <w:shd w:val="clear" w:color="000000" w:fill="FFFFFF" w:themeFill="background1"/>
            <w:noWrap/>
            <w:vAlign w:val="center"/>
          </w:tcPr>
          <w:p>
            <w:pPr>
              <w:widowControl/>
              <w:spacing w:line="440" w:lineRule="exact"/>
              <w:jc w:val="left"/>
              <w:rPr>
                <w:rFonts w:ascii="宋体" w:hAnsi="宋体" w:cs="宋体"/>
                <w:kern w:val="0"/>
                <w:sz w:val="18"/>
                <w:szCs w:val="18"/>
              </w:rPr>
            </w:pPr>
            <w:r>
              <w:rPr>
                <w:rFonts w:hint="eastAsia"/>
                <w:color w:val="000000"/>
                <w:sz w:val="18"/>
                <w:szCs w:val="18"/>
              </w:rPr>
              <w:t>毛泽东思想和中国特色社会主义理论体系概论</w:t>
            </w:r>
            <w:r>
              <w:rPr>
                <w:rFonts w:hint="eastAsia"/>
                <w:color w:val="000000"/>
                <w:sz w:val="18"/>
                <w:szCs w:val="18"/>
                <w:lang w:eastAsia="zh-CN"/>
              </w:rPr>
              <w:t>、</w:t>
            </w:r>
            <w:r>
              <w:rPr>
                <w:rFonts w:hint="eastAsia"/>
                <w:color w:val="000000"/>
                <w:sz w:val="18"/>
                <w:szCs w:val="18"/>
              </w:rPr>
              <w:t>大学英语</w:t>
            </w:r>
            <w:r>
              <w:rPr>
                <w:rFonts w:hint="eastAsia"/>
                <w:color w:val="000000"/>
                <w:sz w:val="18"/>
                <w:szCs w:val="18"/>
                <w:lang w:eastAsia="zh-CN"/>
              </w:rPr>
              <w:t>、</w:t>
            </w:r>
            <w:r>
              <w:rPr>
                <w:rFonts w:hint="eastAsia"/>
                <w:color w:val="000000"/>
                <w:sz w:val="18"/>
                <w:szCs w:val="18"/>
              </w:rPr>
              <w:t>高等数学</w:t>
            </w:r>
            <w:r>
              <w:rPr>
                <w:rFonts w:hint="eastAsia"/>
                <w:color w:val="000000"/>
                <w:sz w:val="18"/>
                <w:szCs w:val="18"/>
                <w:lang w:eastAsia="zh-CN"/>
              </w:rPr>
              <w:t>、</w:t>
            </w:r>
            <w:r>
              <w:rPr>
                <w:rFonts w:hint="eastAsia"/>
                <w:color w:val="000000"/>
                <w:sz w:val="18"/>
                <w:szCs w:val="18"/>
              </w:rPr>
              <w:t>计算机应用基础</w:t>
            </w:r>
            <w:r>
              <w:rPr>
                <w:rFonts w:hint="eastAsia"/>
                <w:color w:val="000000"/>
                <w:sz w:val="18"/>
                <w:szCs w:val="18"/>
                <w:lang w:eastAsia="zh-CN"/>
              </w:rPr>
              <w:t>、</w:t>
            </w:r>
            <w:r>
              <w:rPr>
                <w:rFonts w:hint="eastAsia"/>
                <w:color w:val="auto"/>
                <w:sz w:val="18"/>
                <w:szCs w:val="18"/>
              </w:rPr>
              <w:t>Python程序设计</w:t>
            </w:r>
            <w:r>
              <w:rPr>
                <w:rFonts w:hint="eastAsia"/>
                <w:color w:val="auto"/>
                <w:sz w:val="18"/>
                <w:szCs w:val="18"/>
                <w:lang w:eastAsia="zh-CN"/>
              </w:rPr>
              <w:t>、</w:t>
            </w:r>
            <w:r>
              <w:rPr>
                <w:rFonts w:hint="eastAsia"/>
                <w:color w:val="000000"/>
                <w:sz w:val="18"/>
                <w:szCs w:val="18"/>
              </w:rPr>
              <w:t>计算机组装与维护</w:t>
            </w:r>
            <w:r>
              <w:rPr>
                <w:rFonts w:hint="eastAsia"/>
                <w:color w:val="000000"/>
                <w:sz w:val="18"/>
                <w:szCs w:val="18"/>
                <w:lang w:eastAsia="zh-CN"/>
              </w:rPr>
              <w:t>、</w:t>
            </w:r>
            <w:r>
              <w:rPr>
                <w:rFonts w:hint="eastAsia"/>
                <w:sz w:val="18"/>
                <w:szCs w:val="18"/>
              </w:rPr>
              <w:t>Photoshop图像处理</w:t>
            </w:r>
            <w:r>
              <w:rPr>
                <w:rFonts w:hint="eastAsia"/>
                <w:sz w:val="18"/>
                <w:szCs w:val="18"/>
                <w:lang w:eastAsia="zh-CN"/>
              </w:rPr>
              <w:t>、</w:t>
            </w:r>
            <w:r>
              <w:rPr>
                <w:rFonts w:hint="eastAsia"/>
                <w:color w:val="000000"/>
                <w:sz w:val="18"/>
                <w:szCs w:val="18"/>
              </w:rPr>
              <w:t>计算机网络基础</w:t>
            </w:r>
            <w:r>
              <w:rPr>
                <w:rFonts w:hint="eastAsia"/>
                <w:color w:val="000000"/>
                <w:sz w:val="18"/>
                <w:szCs w:val="18"/>
                <w:lang w:eastAsia="zh-CN"/>
              </w:rPr>
              <w:t>、</w:t>
            </w:r>
            <w:r>
              <w:rPr>
                <w:rFonts w:hint="eastAsia"/>
                <w:color w:val="000000"/>
                <w:sz w:val="18"/>
                <w:szCs w:val="18"/>
              </w:rPr>
              <w:t>Intranet组建与管理</w:t>
            </w:r>
            <w:r>
              <w:rPr>
                <w:rFonts w:hint="eastAsia"/>
                <w:color w:val="000000"/>
                <w:sz w:val="18"/>
                <w:szCs w:val="18"/>
                <w:lang w:eastAsia="zh-CN"/>
              </w:rPr>
              <w:t>、</w:t>
            </w:r>
            <w:r>
              <w:rPr>
                <w:rFonts w:hint="eastAsia"/>
                <w:color w:val="auto"/>
                <w:sz w:val="18"/>
                <w:szCs w:val="18"/>
              </w:rPr>
              <w:t>Illustrator图形制作</w:t>
            </w:r>
            <w:r>
              <w:rPr>
                <w:rFonts w:hint="eastAsia"/>
                <w:color w:val="auto"/>
                <w:sz w:val="18"/>
                <w:szCs w:val="18"/>
                <w:lang w:eastAsia="zh-CN"/>
              </w:rPr>
              <w:t>、</w:t>
            </w:r>
            <w:r>
              <w:rPr>
                <w:rFonts w:hint="eastAsia"/>
                <w:color w:val="000000"/>
                <w:sz w:val="18"/>
                <w:szCs w:val="18"/>
              </w:rPr>
              <w:t>Flash动画设计</w:t>
            </w:r>
            <w:r>
              <w:rPr>
                <w:rFonts w:hint="eastAsia"/>
                <w:color w:val="000000"/>
                <w:sz w:val="18"/>
                <w:szCs w:val="18"/>
                <w:lang w:eastAsia="zh-CN"/>
              </w:rPr>
              <w:t>、</w:t>
            </w:r>
            <w:r>
              <w:rPr>
                <w:rFonts w:hint="eastAsia"/>
                <w:color w:val="000000"/>
                <w:sz w:val="18"/>
                <w:szCs w:val="18"/>
              </w:rPr>
              <w:t>网页制作</w:t>
            </w:r>
            <w:r>
              <w:rPr>
                <w:rFonts w:hint="eastAsia"/>
                <w:color w:val="000000"/>
                <w:sz w:val="18"/>
                <w:szCs w:val="18"/>
                <w:lang w:eastAsia="zh-CN"/>
              </w:rPr>
              <w:t>、</w:t>
            </w:r>
            <w:r>
              <w:rPr>
                <w:rFonts w:hint="eastAsia" w:ascii="宋体" w:hAnsi="宋体" w:cs="宋体"/>
                <w:color w:val="auto"/>
                <w:sz w:val="18"/>
                <w:szCs w:val="18"/>
              </w:rPr>
              <w:t>AutoCAD识图与制图</w:t>
            </w:r>
            <w:r>
              <w:rPr>
                <w:rFonts w:hint="eastAsia" w:ascii="宋体" w:hAnsi="宋体" w:cs="宋体"/>
                <w:color w:val="auto"/>
                <w:sz w:val="18"/>
                <w:szCs w:val="18"/>
                <w:lang w:eastAsia="zh-CN"/>
              </w:rPr>
              <w:t>、</w:t>
            </w:r>
            <w:r>
              <w:rPr>
                <w:rFonts w:hint="eastAsia"/>
                <w:color w:val="000000"/>
                <w:sz w:val="18"/>
                <w:szCs w:val="18"/>
              </w:rPr>
              <w:t>网络数据库技术</w:t>
            </w:r>
            <w:r>
              <w:rPr>
                <w:rFonts w:hint="eastAsia"/>
                <w:color w:val="000000"/>
                <w:sz w:val="18"/>
                <w:szCs w:val="18"/>
                <w:lang w:eastAsia="zh-CN"/>
              </w:rPr>
              <w:t>、</w:t>
            </w:r>
            <w:r>
              <w:rPr>
                <w:rFonts w:hint="eastAsia" w:ascii="宋体" w:hAnsi="宋体" w:cs="宋体"/>
                <w:color w:val="auto"/>
                <w:sz w:val="18"/>
                <w:szCs w:val="18"/>
              </w:rPr>
              <w:t>电商视觉设计</w:t>
            </w:r>
            <w:r>
              <w:rPr>
                <w:rFonts w:hint="eastAsia" w:ascii="宋体" w:hAnsi="宋体" w:cs="宋体"/>
                <w:color w:val="auto"/>
                <w:sz w:val="18"/>
                <w:szCs w:val="18"/>
                <w:lang w:eastAsia="zh-CN"/>
              </w:rPr>
              <w:t>、</w:t>
            </w:r>
            <w:r>
              <w:rPr>
                <w:rFonts w:hint="eastAsia"/>
                <w:color w:val="auto"/>
                <w:sz w:val="18"/>
                <w:szCs w:val="18"/>
              </w:rPr>
              <w:t>移动WEB开发</w:t>
            </w:r>
            <w:r>
              <w:rPr>
                <w:rFonts w:hint="eastAsia"/>
                <w:color w:val="auto"/>
                <w:sz w:val="18"/>
                <w:szCs w:val="18"/>
                <w:lang w:eastAsia="zh-CN"/>
              </w:rPr>
              <w:t>、</w:t>
            </w:r>
            <w:r>
              <w:rPr>
                <w:rFonts w:hint="eastAsia"/>
                <w:color w:val="000000"/>
                <w:sz w:val="18"/>
                <w:szCs w:val="18"/>
              </w:rPr>
              <w:t>电子商务概论</w:t>
            </w:r>
            <w:r>
              <w:rPr>
                <w:rFonts w:hint="eastAsia"/>
                <w:color w:val="000000"/>
                <w:sz w:val="18"/>
                <w:szCs w:val="18"/>
                <w:lang w:eastAsia="zh-CN"/>
              </w:rPr>
              <w:t>、</w:t>
            </w:r>
            <w:r>
              <w:rPr>
                <w:rFonts w:hint="eastAsia"/>
                <w:color w:val="000000"/>
                <w:sz w:val="18"/>
                <w:szCs w:val="18"/>
              </w:rPr>
              <w:t>人际沟通与交流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0" w:type="dxa"/>
            <w:tcBorders>
              <w:tl2br w:val="nil"/>
              <w:tr2bl w:val="nil"/>
            </w:tcBorders>
            <w:shd w:val="clear" w:color="000000" w:fill="FFFFFF" w:themeFill="background1"/>
            <w:noWrap/>
            <w:vAlign w:val="center"/>
          </w:tcPr>
          <w:p>
            <w:pPr>
              <w:widowControl/>
              <w:spacing w:line="440" w:lineRule="exact"/>
              <w:jc w:val="center"/>
              <w:rPr>
                <w:rFonts w:ascii="宋体" w:hAnsi="宋体" w:cs="宋体"/>
                <w:b w:val="0"/>
                <w:bCs w:val="0"/>
                <w:kern w:val="0"/>
                <w:sz w:val="18"/>
                <w:szCs w:val="18"/>
              </w:rPr>
            </w:pPr>
            <w:r>
              <w:rPr>
                <w:rFonts w:hint="eastAsia" w:ascii="宋体" w:hAnsi="宋体" w:cs="宋体"/>
                <w:b/>
                <w:bCs/>
                <w:kern w:val="0"/>
                <w:sz w:val="18"/>
                <w:szCs w:val="18"/>
              </w:rPr>
              <w:t>5</w:t>
            </w:r>
          </w:p>
        </w:tc>
        <w:tc>
          <w:tcPr>
            <w:tcW w:w="1141"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护理</w:t>
            </w:r>
          </w:p>
        </w:tc>
        <w:tc>
          <w:tcPr>
            <w:tcW w:w="813"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bookmarkStart w:id="0" w:name="_Hlk108508389"/>
            <w:r>
              <w:rPr>
                <w:rFonts w:hint="eastAsia" w:ascii="宋体" w:hAnsi="宋体" w:cs="宋体"/>
                <w:kern w:val="0"/>
                <w:sz w:val="18"/>
                <w:szCs w:val="18"/>
              </w:rPr>
              <w:t>理工类</w:t>
            </w:r>
            <w:bookmarkEnd w:id="0"/>
          </w:p>
        </w:tc>
        <w:tc>
          <w:tcPr>
            <w:tcW w:w="700"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业余</w:t>
            </w:r>
          </w:p>
        </w:tc>
        <w:tc>
          <w:tcPr>
            <w:tcW w:w="6100" w:type="dxa"/>
            <w:tcBorders>
              <w:tl2br w:val="nil"/>
              <w:tr2bl w:val="nil"/>
            </w:tcBorders>
            <w:shd w:val="clear" w:color="000000" w:fill="FFFFFF" w:themeFill="background1"/>
            <w:noWrap/>
            <w:vAlign w:val="center"/>
          </w:tcPr>
          <w:p>
            <w:pPr>
              <w:widowControl/>
              <w:spacing w:line="440" w:lineRule="exact"/>
              <w:jc w:val="left"/>
              <w:rPr>
                <w:rFonts w:ascii="宋体" w:hAnsi="宋体" w:cs="宋体"/>
                <w:kern w:val="0"/>
                <w:sz w:val="18"/>
                <w:szCs w:val="18"/>
              </w:rPr>
            </w:pPr>
            <w:r>
              <w:rPr>
                <w:rFonts w:hint="eastAsia"/>
                <w:color w:val="000000"/>
                <w:sz w:val="18"/>
                <w:szCs w:val="18"/>
              </w:rPr>
              <w:t>毛泽东思想和中国特色社会主义理论体系概论</w:t>
            </w:r>
            <w:r>
              <w:rPr>
                <w:rFonts w:hint="eastAsia"/>
                <w:color w:val="000000"/>
                <w:sz w:val="18"/>
                <w:szCs w:val="18"/>
                <w:lang w:eastAsia="zh-CN"/>
              </w:rPr>
              <w:t>、</w:t>
            </w:r>
            <w:r>
              <w:rPr>
                <w:rFonts w:hint="eastAsia"/>
                <w:color w:val="000000"/>
                <w:sz w:val="18"/>
                <w:szCs w:val="18"/>
              </w:rPr>
              <w:t>大学英语</w:t>
            </w:r>
            <w:r>
              <w:rPr>
                <w:rFonts w:hint="eastAsia"/>
                <w:color w:val="000000"/>
                <w:sz w:val="18"/>
                <w:szCs w:val="18"/>
                <w:lang w:eastAsia="zh-CN"/>
              </w:rPr>
              <w:t>、</w:t>
            </w:r>
            <w:r>
              <w:rPr>
                <w:rFonts w:hint="eastAsia"/>
                <w:color w:val="000000"/>
                <w:sz w:val="18"/>
                <w:szCs w:val="18"/>
              </w:rPr>
              <w:t>人际沟通与礼仪</w:t>
            </w:r>
            <w:r>
              <w:rPr>
                <w:rFonts w:hint="eastAsia"/>
                <w:color w:val="000000"/>
                <w:sz w:val="18"/>
                <w:szCs w:val="18"/>
                <w:lang w:eastAsia="zh-CN"/>
              </w:rPr>
              <w:t>、</w:t>
            </w:r>
            <w:r>
              <w:rPr>
                <w:rFonts w:hint="eastAsia"/>
                <w:color w:val="000000"/>
                <w:sz w:val="18"/>
                <w:szCs w:val="18"/>
              </w:rPr>
              <w:t>计算机文化基础</w:t>
            </w:r>
            <w:r>
              <w:rPr>
                <w:rFonts w:hint="eastAsia"/>
                <w:color w:val="000000"/>
                <w:sz w:val="18"/>
                <w:szCs w:val="18"/>
                <w:lang w:eastAsia="zh-CN"/>
              </w:rPr>
              <w:t>、</w:t>
            </w:r>
            <w:r>
              <w:rPr>
                <w:rFonts w:hint="eastAsia" w:ascii="Times New Roman" w:hAnsi="Times New Roman" w:eastAsia="宋体" w:cs="Times New Roman"/>
                <w:color w:val="000000"/>
                <w:sz w:val="18"/>
                <w:szCs w:val="18"/>
              </w:rPr>
              <w:t>人体机能</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生物化学</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病原生物学与免疫学基础</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健康评估</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药理学</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心理护理</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内科护理</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外科护理</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儿科护理</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妇产科护理</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急救护理</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中医护理</w:t>
            </w:r>
            <w:r>
              <w:rPr>
                <w:rFonts w:hint="eastAsia" w:cs="Times New Roman"/>
                <w:color w:val="000000"/>
                <w:sz w:val="18"/>
                <w:szCs w:val="18"/>
                <w:lang w:eastAsia="zh-CN"/>
              </w:rPr>
              <w:t>、</w:t>
            </w:r>
            <w:r>
              <w:rPr>
                <w:rFonts w:hint="eastAsia"/>
                <w:color w:val="000000"/>
                <w:sz w:val="18"/>
                <w:szCs w:val="18"/>
              </w:rPr>
              <w:t>社区护理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0" w:type="dxa"/>
            <w:tcBorders>
              <w:tl2br w:val="nil"/>
              <w:tr2bl w:val="nil"/>
            </w:tcBorders>
            <w:shd w:val="clear" w:color="000000" w:fill="FFFFFF" w:themeFill="background1"/>
            <w:noWrap/>
            <w:vAlign w:val="center"/>
          </w:tcPr>
          <w:p>
            <w:pPr>
              <w:widowControl/>
              <w:spacing w:line="440" w:lineRule="exact"/>
              <w:jc w:val="center"/>
              <w:rPr>
                <w:rFonts w:ascii="宋体" w:hAnsi="宋体" w:cs="宋体"/>
                <w:b w:val="0"/>
                <w:bCs w:val="0"/>
                <w:kern w:val="0"/>
                <w:sz w:val="18"/>
                <w:szCs w:val="18"/>
              </w:rPr>
            </w:pPr>
            <w:r>
              <w:rPr>
                <w:rFonts w:hint="eastAsia" w:ascii="宋体" w:hAnsi="宋体" w:cs="宋体"/>
                <w:b/>
                <w:bCs/>
                <w:kern w:val="0"/>
                <w:sz w:val="18"/>
                <w:szCs w:val="18"/>
              </w:rPr>
              <w:t>6</w:t>
            </w:r>
          </w:p>
        </w:tc>
        <w:tc>
          <w:tcPr>
            <w:tcW w:w="1141"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金融服务与管理</w:t>
            </w:r>
          </w:p>
        </w:tc>
        <w:tc>
          <w:tcPr>
            <w:tcW w:w="813"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文、理工类</w:t>
            </w:r>
          </w:p>
        </w:tc>
        <w:tc>
          <w:tcPr>
            <w:tcW w:w="700"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函授</w:t>
            </w:r>
          </w:p>
        </w:tc>
        <w:tc>
          <w:tcPr>
            <w:tcW w:w="6100" w:type="dxa"/>
            <w:tcBorders>
              <w:tl2br w:val="nil"/>
              <w:tr2bl w:val="nil"/>
            </w:tcBorders>
            <w:shd w:val="clear" w:color="000000" w:fill="FFFFFF" w:themeFill="background1"/>
            <w:noWrap/>
            <w:vAlign w:val="center"/>
          </w:tcPr>
          <w:p>
            <w:pPr>
              <w:widowControl/>
              <w:spacing w:line="440" w:lineRule="exact"/>
              <w:jc w:val="left"/>
              <w:rPr>
                <w:rFonts w:ascii="宋体" w:hAnsi="宋体" w:cs="宋体"/>
                <w:kern w:val="0"/>
                <w:sz w:val="18"/>
                <w:szCs w:val="18"/>
              </w:rPr>
            </w:pPr>
            <w:r>
              <w:rPr>
                <w:rFonts w:hint="eastAsia"/>
                <w:color w:val="000000"/>
                <w:sz w:val="18"/>
                <w:szCs w:val="18"/>
              </w:rPr>
              <w:t>毛泽东思想和中国特色社会主义理论体系概论</w:t>
            </w:r>
            <w:r>
              <w:rPr>
                <w:rFonts w:hint="eastAsia"/>
                <w:color w:val="000000"/>
                <w:sz w:val="18"/>
                <w:szCs w:val="18"/>
                <w:lang w:eastAsia="zh-CN"/>
              </w:rPr>
              <w:t>、</w:t>
            </w:r>
            <w:r>
              <w:rPr>
                <w:rFonts w:hint="eastAsia"/>
                <w:color w:val="000000"/>
                <w:sz w:val="18"/>
                <w:szCs w:val="18"/>
              </w:rPr>
              <w:t>大学英语</w:t>
            </w:r>
            <w:r>
              <w:rPr>
                <w:rFonts w:hint="eastAsia"/>
                <w:color w:val="000000"/>
                <w:sz w:val="18"/>
                <w:szCs w:val="18"/>
                <w:lang w:eastAsia="zh-CN"/>
              </w:rPr>
              <w:t>、</w:t>
            </w:r>
            <w:r>
              <w:rPr>
                <w:rFonts w:hint="eastAsia"/>
                <w:color w:val="000000"/>
                <w:sz w:val="18"/>
                <w:szCs w:val="18"/>
              </w:rPr>
              <w:t>高等数学</w:t>
            </w:r>
            <w:r>
              <w:rPr>
                <w:rFonts w:hint="eastAsia"/>
                <w:color w:val="000000"/>
                <w:sz w:val="18"/>
                <w:szCs w:val="18"/>
                <w:lang w:eastAsia="zh-CN"/>
              </w:rPr>
              <w:t>、</w:t>
            </w:r>
            <w:r>
              <w:rPr>
                <w:rFonts w:hint="eastAsia"/>
                <w:color w:val="000000"/>
                <w:sz w:val="18"/>
                <w:szCs w:val="18"/>
              </w:rPr>
              <w:t>计算机文化基础</w:t>
            </w:r>
            <w:r>
              <w:rPr>
                <w:rFonts w:hint="eastAsia"/>
                <w:color w:val="000000"/>
                <w:sz w:val="18"/>
                <w:szCs w:val="18"/>
                <w:lang w:eastAsia="zh-CN"/>
              </w:rPr>
              <w:t>、</w:t>
            </w:r>
            <w:r>
              <w:rPr>
                <w:rFonts w:hint="eastAsia" w:ascii="Times New Roman" w:hAnsi="Times New Roman" w:eastAsia="宋体" w:cs="Times New Roman"/>
                <w:color w:val="000000"/>
                <w:sz w:val="18"/>
                <w:szCs w:val="18"/>
              </w:rPr>
              <w:t>经济学基础</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基础会计</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金融学基础</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经济法基础</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统计基础</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银行综合柜台业务</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证券投资实务</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保险理论与实务</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金融产品营销</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互联网金融</w:t>
            </w:r>
            <w:r>
              <w:rPr>
                <w:rFonts w:hint="eastAsia" w:cs="Times New Roman"/>
                <w:color w:val="000000"/>
                <w:sz w:val="18"/>
                <w:szCs w:val="18"/>
                <w:lang w:eastAsia="zh-CN"/>
              </w:rPr>
              <w:t>、</w:t>
            </w:r>
            <w:r>
              <w:rPr>
                <w:rFonts w:hint="eastAsia"/>
                <w:color w:val="000000"/>
                <w:sz w:val="18"/>
                <w:szCs w:val="18"/>
              </w:rPr>
              <w:t>个人理财</w:t>
            </w:r>
            <w:r>
              <w:rPr>
                <w:rFonts w:hint="eastAsia"/>
                <w:color w:val="000000"/>
                <w:sz w:val="18"/>
                <w:szCs w:val="18"/>
                <w:lang w:eastAsia="zh-CN"/>
              </w:rPr>
              <w:t>、</w:t>
            </w:r>
            <w:r>
              <w:rPr>
                <w:rFonts w:hint="eastAsia"/>
                <w:color w:val="000000"/>
                <w:sz w:val="18"/>
                <w:szCs w:val="18"/>
              </w:rPr>
              <w:t>财务报表分析</w:t>
            </w:r>
            <w:r>
              <w:rPr>
                <w:rFonts w:hint="eastAsia"/>
                <w:color w:val="000000"/>
                <w:sz w:val="18"/>
                <w:szCs w:val="18"/>
                <w:lang w:eastAsia="zh-CN"/>
              </w:rPr>
              <w:t>、</w:t>
            </w:r>
            <w:r>
              <w:rPr>
                <w:rFonts w:hint="eastAsia"/>
                <w:color w:val="000000"/>
                <w:sz w:val="18"/>
                <w:szCs w:val="18"/>
              </w:rPr>
              <w:t>商务谈判</w:t>
            </w:r>
            <w:r>
              <w:rPr>
                <w:rFonts w:hint="eastAsia"/>
                <w:color w:val="000000"/>
                <w:sz w:val="18"/>
                <w:szCs w:val="18"/>
                <w:lang w:eastAsia="zh-CN"/>
              </w:rPr>
              <w:t>、</w:t>
            </w:r>
            <w:r>
              <w:rPr>
                <w:rFonts w:hint="eastAsia" w:ascii="宋体" w:hAnsi="宋体" w:cs="宋体"/>
                <w:kern w:val="0"/>
                <w:sz w:val="18"/>
                <w:szCs w:val="18"/>
              </w:rPr>
              <w:t>人际沟通与交流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0" w:type="dxa"/>
            <w:tcBorders>
              <w:tl2br w:val="nil"/>
              <w:tr2bl w:val="nil"/>
            </w:tcBorders>
            <w:shd w:val="clear" w:color="000000" w:fill="FFFFFF" w:themeFill="background1"/>
            <w:noWrap/>
            <w:vAlign w:val="center"/>
          </w:tcPr>
          <w:p>
            <w:pPr>
              <w:widowControl/>
              <w:spacing w:line="440" w:lineRule="exact"/>
              <w:jc w:val="center"/>
              <w:rPr>
                <w:rFonts w:ascii="宋体" w:hAnsi="宋体" w:cs="宋体"/>
                <w:b w:val="0"/>
                <w:bCs w:val="0"/>
                <w:kern w:val="0"/>
                <w:sz w:val="18"/>
                <w:szCs w:val="18"/>
              </w:rPr>
            </w:pPr>
            <w:r>
              <w:rPr>
                <w:rFonts w:hint="eastAsia" w:ascii="宋体" w:hAnsi="宋体" w:cs="宋体"/>
                <w:b/>
                <w:bCs/>
                <w:kern w:val="0"/>
                <w:sz w:val="18"/>
                <w:szCs w:val="18"/>
              </w:rPr>
              <w:t>7</w:t>
            </w:r>
          </w:p>
        </w:tc>
        <w:tc>
          <w:tcPr>
            <w:tcW w:w="1141"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中药学</w:t>
            </w:r>
          </w:p>
        </w:tc>
        <w:tc>
          <w:tcPr>
            <w:tcW w:w="813"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理工类</w:t>
            </w:r>
          </w:p>
        </w:tc>
        <w:tc>
          <w:tcPr>
            <w:tcW w:w="700"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函授</w:t>
            </w:r>
          </w:p>
        </w:tc>
        <w:tc>
          <w:tcPr>
            <w:tcW w:w="6100" w:type="dxa"/>
            <w:tcBorders>
              <w:tl2br w:val="nil"/>
              <w:tr2bl w:val="nil"/>
            </w:tcBorders>
            <w:shd w:val="clear" w:color="000000" w:fill="FFFFFF" w:themeFill="background1"/>
            <w:noWrap/>
            <w:vAlign w:val="center"/>
          </w:tcPr>
          <w:p>
            <w:pPr>
              <w:widowControl/>
              <w:spacing w:line="440" w:lineRule="exact"/>
              <w:jc w:val="left"/>
              <w:rPr>
                <w:rFonts w:ascii="宋体" w:hAnsi="宋体" w:cs="宋体"/>
                <w:kern w:val="0"/>
                <w:sz w:val="18"/>
                <w:szCs w:val="18"/>
              </w:rPr>
            </w:pPr>
            <w:r>
              <w:rPr>
                <w:rFonts w:hint="eastAsia"/>
                <w:sz w:val="18"/>
                <w:szCs w:val="18"/>
              </w:rPr>
              <w:t>毛泽东思想和中国特色社会主义理论体系概论</w:t>
            </w:r>
            <w:r>
              <w:rPr>
                <w:rFonts w:hint="eastAsia"/>
                <w:sz w:val="18"/>
                <w:szCs w:val="18"/>
                <w:lang w:eastAsia="zh-CN"/>
              </w:rPr>
              <w:t>、</w:t>
            </w:r>
            <w:r>
              <w:rPr>
                <w:rFonts w:hint="eastAsia"/>
                <w:sz w:val="18"/>
                <w:szCs w:val="18"/>
              </w:rPr>
              <w:t>行业英语</w:t>
            </w:r>
            <w:r>
              <w:rPr>
                <w:rFonts w:hint="eastAsia"/>
                <w:sz w:val="18"/>
                <w:szCs w:val="18"/>
                <w:lang w:eastAsia="zh-CN"/>
              </w:rPr>
              <w:t>、</w:t>
            </w:r>
            <w:r>
              <w:rPr>
                <w:rFonts w:hint="eastAsia"/>
                <w:sz w:val="18"/>
                <w:szCs w:val="18"/>
              </w:rPr>
              <w:t>实用写作</w:t>
            </w:r>
            <w:r>
              <w:rPr>
                <w:rFonts w:hint="eastAsia"/>
                <w:sz w:val="18"/>
                <w:szCs w:val="18"/>
                <w:lang w:eastAsia="zh-CN"/>
              </w:rPr>
              <w:t>、</w:t>
            </w:r>
            <w:r>
              <w:rPr>
                <w:rFonts w:hint="eastAsia"/>
                <w:sz w:val="18"/>
                <w:szCs w:val="18"/>
              </w:rPr>
              <w:t>计算机文化基础</w:t>
            </w:r>
            <w:r>
              <w:rPr>
                <w:rFonts w:hint="eastAsia"/>
                <w:sz w:val="18"/>
                <w:szCs w:val="18"/>
                <w:lang w:eastAsia="zh-CN"/>
              </w:rPr>
              <w:t>、</w:t>
            </w:r>
            <w:r>
              <w:rPr>
                <w:rFonts w:hint="eastAsia"/>
                <w:sz w:val="18"/>
                <w:szCs w:val="18"/>
              </w:rPr>
              <w:t>基础医学概要</w:t>
            </w:r>
            <w:r>
              <w:rPr>
                <w:rFonts w:hint="eastAsia"/>
                <w:sz w:val="18"/>
                <w:szCs w:val="18"/>
                <w:lang w:eastAsia="zh-CN"/>
              </w:rPr>
              <w:t>、</w:t>
            </w:r>
            <w:r>
              <w:rPr>
                <w:rFonts w:hint="eastAsia"/>
                <w:sz w:val="18"/>
                <w:szCs w:val="18"/>
              </w:rPr>
              <w:t>临床医学概要</w:t>
            </w:r>
            <w:r>
              <w:rPr>
                <w:rFonts w:hint="eastAsia"/>
                <w:sz w:val="18"/>
                <w:szCs w:val="18"/>
                <w:lang w:eastAsia="zh-CN"/>
              </w:rPr>
              <w:t>、</w:t>
            </w:r>
            <w:r>
              <w:rPr>
                <w:rFonts w:ascii="宋体" w:hAnsi="宋体" w:cs="宋体"/>
                <w:sz w:val="18"/>
                <w:szCs w:val="18"/>
              </w:rPr>
              <w:t>中医学基础</w:t>
            </w:r>
            <w:r>
              <w:rPr>
                <w:rFonts w:hint="eastAsia" w:ascii="宋体" w:hAnsi="宋体" w:cs="宋体"/>
                <w:sz w:val="18"/>
                <w:szCs w:val="18"/>
                <w:lang w:eastAsia="zh-CN"/>
              </w:rPr>
              <w:t>、</w:t>
            </w:r>
            <w:r>
              <w:rPr>
                <w:rFonts w:hint="eastAsia"/>
                <w:sz w:val="18"/>
                <w:szCs w:val="18"/>
              </w:rPr>
              <w:t>中药学</w:t>
            </w:r>
            <w:r>
              <w:rPr>
                <w:rFonts w:hint="eastAsia"/>
                <w:sz w:val="18"/>
                <w:szCs w:val="18"/>
                <w:lang w:eastAsia="zh-CN"/>
              </w:rPr>
              <w:t>、</w:t>
            </w:r>
            <w:r>
              <w:rPr>
                <w:rFonts w:hint="eastAsia"/>
                <w:sz w:val="18"/>
                <w:szCs w:val="18"/>
              </w:rPr>
              <w:t>药理学</w:t>
            </w:r>
            <w:r>
              <w:rPr>
                <w:rFonts w:hint="eastAsia"/>
                <w:sz w:val="18"/>
                <w:szCs w:val="18"/>
                <w:lang w:eastAsia="zh-CN"/>
              </w:rPr>
              <w:t>、</w:t>
            </w:r>
            <w:r>
              <w:rPr>
                <w:rFonts w:hint="eastAsia"/>
                <w:sz w:val="18"/>
                <w:szCs w:val="18"/>
              </w:rPr>
              <w:t>药用植物基础</w:t>
            </w:r>
            <w:r>
              <w:rPr>
                <w:rFonts w:hint="eastAsia"/>
                <w:sz w:val="18"/>
                <w:szCs w:val="18"/>
                <w:lang w:eastAsia="zh-CN"/>
              </w:rPr>
              <w:t>、</w:t>
            </w:r>
            <w:r>
              <w:rPr>
                <w:rFonts w:ascii="宋体" w:hAnsi="宋体" w:cs="宋体"/>
                <w:sz w:val="18"/>
                <w:szCs w:val="18"/>
              </w:rPr>
              <w:t>药事管理实务</w:t>
            </w:r>
            <w:r>
              <w:rPr>
                <w:rFonts w:hint="eastAsia" w:ascii="宋体" w:hAnsi="宋体" w:cs="宋体"/>
                <w:sz w:val="18"/>
                <w:szCs w:val="18"/>
                <w:lang w:eastAsia="zh-CN"/>
              </w:rPr>
              <w:t>、</w:t>
            </w:r>
            <w:r>
              <w:rPr>
                <w:rFonts w:hint="eastAsia"/>
                <w:sz w:val="18"/>
                <w:szCs w:val="18"/>
              </w:rPr>
              <w:t>中药鉴定技术</w:t>
            </w:r>
            <w:r>
              <w:rPr>
                <w:rFonts w:hint="eastAsia"/>
                <w:sz w:val="18"/>
                <w:szCs w:val="18"/>
                <w:lang w:eastAsia="zh-CN"/>
              </w:rPr>
              <w:t>、</w:t>
            </w:r>
            <w:r>
              <w:rPr>
                <w:rFonts w:hint="eastAsia"/>
                <w:sz w:val="18"/>
                <w:szCs w:val="18"/>
              </w:rPr>
              <w:t>中药炮制技术</w:t>
            </w:r>
            <w:r>
              <w:rPr>
                <w:rFonts w:hint="eastAsia"/>
                <w:sz w:val="18"/>
                <w:szCs w:val="18"/>
                <w:lang w:eastAsia="zh-CN"/>
              </w:rPr>
              <w:t>、</w:t>
            </w:r>
            <w:r>
              <w:rPr>
                <w:rFonts w:hint="eastAsia"/>
                <w:sz w:val="18"/>
                <w:szCs w:val="18"/>
              </w:rPr>
              <w:t>中药制剂技术</w:t>
            </w:r>
            <w:r>
              <w:rPr>
                <w:rFonts w:hint="eastAsia"/>
                <w:sz w:val="18"/>
                <w:szCs w:val="18"/>
                <w:lang w:eastAsia="zh-CN"/>
              </w:rPr>
              <w:t>、</w:t>
            </w:r>
            <w:r>
              <w:rPr>
                <w:rFonts w:hint="eastAsia"/>
                <w:sz w:val="18"/>
                <w:szCs w:val="18"/>
              </w:rPr>
              <w:t>中药调剂技术</w:t>
            </w:r>
            <w:r>
              <w:rPr>
                <w:rFonts w:hint="eastAsia"/>
                <w:sz w:val="18"/>
                <w:szCs w:val="18"/>
                <w:lang w:eastAsia="zh-CN"/>
              </w:rPr>
              <w:t>、</w:t>
            </w:r>
            <w:r>
              <w:rPr>
                <w:rFonts w:ascii="宋体" w:hAnsi="宋体" w:cs="宋体"/>
                <w:sz w:val="18"/>
                <w:szCs w:val="18"/>
              </w:rPr>
              <w:t>中药化学</w:t>
            </w:r>
            <w:r>
              <w:rPr>
                <w:rFonts w:hint="eastAsia" w:ascii="宋体" w:hAnsi="宋体" w:cs="宋体"/>
                <w:sz w:val="18"/>
                <w:szCs w:val="18"/>
                <w:lang w:eastAsia="zh-CN"/>
              </w:rPr>
              <w:t>、</w:t>
            </w:r>
            <w:r>
              <w:rPr>
                <w:rFonts w:hint="eastAsia" w:ascii="宋体" w:hAnsi="宋体" w:cs="宋体"/>
                <w:sz w:val="18"/>
                <w:szCs w:val="18"/>
              </w:rPr>
              <w:t>中药储存与养护</w:t>
            </w:r>
            <w:r>
              <w:rPr>
                <w:rFonts w:hint="eastAsia" w:ascii="宋体" w:hAnsi="宋体" w:cs="宋体"/>
                <w:sz w:val="18"/>
                <w:szCs w:val="18"/>
                <w:lang w:eastAsia="zh-CN"/>
              </w:rPr>
              <w:t>、</w:t>
            </w:r>
            <w:r>
              <w:rPr>
                <w:rFonts w:hint="eastAsia"/>
                <w:sz w:val="18"/>
                <w:szCs w:val="18"/>
              </w:rPr>
              <w:t>中药养生与保健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0" w:type="dxa"/>
            <w:tcBorders>
              <w:tl2br w:val="nil"/>
              <w:tr2bl w:val="nil"/>
            </w:tcBorders>
            <w:shd w:val="clear" w:color="000000" w:fill="FFFFFF" w:themeFill="background1"/>
            <w:noWrap/>
            <w:vAlign w:val="center"/>
          </w:tcPr>
          <w:p>
            <w:pPr>
              <w:widowControl/>
              <w:spacing w:line="440" w:lineRule="exact"/>
              <w:jc w:val="center"/>
              <w:rPr>
                <w:rFonts w:ascii="宋体" w:hAnsi="宋体" w:cs="宋体"/>
                <w:b w:val="0"/>
                <w:bCs w:val="0"/>
                <w:kern w:val="0"/>
                <w:sz w:val="18"/>
                <w:szCs w:val="18"/>
              </w:rPr>
            </w:pPr>
            <w:r>
              <w:rPr>
                <w:rFonts w:hint="eastAsia" w:ascii="宋体" w:hAnsi="宋体" w:cs="宋体"/>
                <w:b/>
                <w:bCs/>
                <w:kern w:val="0"/>
                <w:sz w:val="18"/>
                <w:szCs w:val="18"/>
              </w:rPr>
              <w:t>8</w:t>
            </w:r>
          </w:p>
        </w:tc>
        <w:tc>
          <w:tcPr>
            <w:tcW w:w="1141"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大数据与会计</w:t>
            </w:r>
          </w:p>
        </w:tc>
        <w:tc>
          <w:tcPr>
            <w:tcW w:w="813"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文、理工类</w:t>
            </w:r>
          </w:p>
        </w:tc>
        <w:tc>
          <w:tcPr>
            <w:tcW w:w="700"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函授</w:t>
            </w:r>
          </w:p>
        </w:tc>
        <w:tc>
          <w:tcPr>
            <w:tcW w:w="6100" w:type="dxa"/>
            <w:tcBorders>
              <w:tl2br w:val="nil"/>
              <w:tr2bl w:val="nil"/>
            </w:tcBorders>
            <w:shd w:val="clear" w:color="000000" w:fill="FFFFFF" w:themeFill="background1"/>
            <w:noWrap/>
            <w:vAlign w:val="center"/>
          </w:tcPr>
          <w:p>
            <w:pPr>
              <w:widowControl/>
              <w:spacing w:line="440" w:lineRule="exact"/>
              <w:jc w:val="left"/>
              <w:rPr>
                <w:rFonts w:ascii="宋体" w:hAnsi="宋体" w:cs="宋体"/>
                <w:kern w:val="0"/>
                <w:sz w:val="18"/>
                <w:szCs w:val="18"/>
              </w:rPr>
            </w:pPr>
            <w:r>
              <w:rPr>
                <w:rFonts w:hint="eastAsia"/>
                <w:sz w:val="18"/>
                <w:szCs w:val="18"/>
              </w:rPr>
              <w:t>毛泽东思想和中国特色社会主义理论体系概论</w:t>
            </w:r>
            <w:r>
              <w:rPr>
                <w:rFonts w:hint="eastAsia"/>
                <w:sz w:val="18"/>
                <w:szCs w:val="18"/>
                <w:lang w:eastAsia="zh-CN"/>
              </w:rPr>
              <w:t>、</w:t>
            </w:r>
            <w:r>
              <w:rPr>
                <w:rFonts w:hint="eastAsia"/>
                <w:sz w:val="18"/>
                <w:szCs w:val="18"/>
              </w:rPr>
              <w:t>大学英语</w:t>
            </w:r>
            <w:r>
              <w:rPr>
                <w:rFonts w:hint="eastAsia"/>
                <w:sz w:val="18"/>
                <w:szCs w:val="18"/>
                <w:lang w:eastAsia="zh-CN"/>
              </w:rPr>
              <w:t>、</w:t>
            </w:r>
            <w:r>
              <w:rPr>
                <w:rFonts w:hint="eastAsia"/>
                <w:sz w:val="18"/>
                <w:szCs w:val="18"/>
              </w:rPr>
              <w:t>高等数学</w:t>
            </w:r>
            <w:r>
              <w:rPr>
                <w:rFonts w:hint="eastAsia"/>
                <w:sz w:val="18"/>
                <w:szCs w:val="18"/>
                <w:lang w:eastAsia="zh-CN"/>
              </w:rPr>
              <w:t>、</w:t>
            </w:r>
            <w:r>
              <w:rPr>
                <w:rFonts w:hint="eastAsia"/>
                <w:sz w:val="18"/>
                <w:szCs w:val="18"/>
              </w:rPr>
              <w:t>计算机文化基础</w:t>
            </w:r>
            <w:r>
              <w:rPr>
                <w:rFonts w:hint="eastAsia"/>
                <w:sz w:val="18"/>
                <w:szCs w:val="18"/>
                <w:lang w:eastAsia="zh-CN"/>
              </w:rPr>
              <w:t>、</w:t>
            </w:r>
            <w:r>
              <w:rPr>
                <w:rFonts w:hint="eastAsia"/>
                <w:sz w:val="18"/>
                <w:szCs w:val="18"/>
              </w:rPr>
              <w:t>基础会计</w:t>
            </w:r>
            <w:r>
              <w:rPr>
                <w:rFonts w:hint="eastAsia"/>
                <w:sz w:val="18"/>
                <w:szCs w:val="18"/>
                <w:lang w:eastAsia="zh-CN"/>
              </w:rPr>
              <w:t>、</w:t>
            </w:r>
            <w:r>
              <w:rPr>
                <w:rFonts w:hint="eastAsia"/>
                <w:sz w:val="18"/>
                <w:szCs w:val="18"/>
              </w:rPr>
              <w:t>经济学基础</w:t>
            </w:r>
            <w:r>
              <w:rPr>
                <w:rFonts w:hint="eastAsia"/>
                <w:sz w:val="18"/>
                <w:szCs w:val="18"/>
                <w:lang w:eastAsia="zh-CN"/>
              </w:rPr>
              <w:t>、</w:t>
            </w:r>
            <w:r>
              <w:rPr>
                <w:rFonts w:hint="eastAsia"/>
                <w:sz w:val="18"/>
                <w:szCs w:val="18"/>
              </w:rPr>
              <w:t>经济法基础</w:t>
            </w:r>
            <w:r>
              <w:rPr>
                <w:rFonts w:hint="eastAsia"/>
                <w:sz w:val="18"/>
                <w:szCs w:val="18"/>
                <w:lang w:eastAsia="zh-CN"/>
              </w:rPr>
              <w:t>、</w:t>
            </w:r>
            <w:r>
              <w:rPr>
                <w:rFonts w:hint="eastAsia" w:ascii="Times New Roman" w:hAnsi="Times New Roman" w:eastAsia="宋体" w:cs="Times New Roman"/>
                <w:sz w:val="18"/>
                <w:szCs w:val="18"/>
                <w:highlight w:val="none"/>
                <w:lang w:val="en-US" w:eastAsia="zh-CN"/>
              </w:rPr>
              <w:t>大数据基础</w:t>
            </w:r>
            <w:r>
              <w:rPr>
                <w:rFonts w:hint="eastAsia" w:cs="Times New Roman"/>
                <w:sz w:val="18"/>
                <w:szCs w:val="18"/>
                <w:highlight w:val="none"/>
                <w:lang w:val="en-US" w:eastAsia="zh-CN"/>
              </w:rPr>
              <w:t>、</w:t>
            </w:r>
            <w:r>
              <w:rPr>
                <w:rFonts w:hint="eastAsia" w:ascii="Times New Roman" w:hAnsi="Times New Roman" w:eastAsia="宋体" w:cs="Times New Roman"/>
                <w:sz w:val="18"/>
                <w:szCs w:val="18"/>
              </w:rPr>
              <w:t>小企业会计</w:t>
            </w:r>
            <w:r>
              <w:rPr>
                <w:rFonts w:hint="eastAsia" w:cs="Times New Roman"/>
                <w:sz w:val="18"/>
                <w:szCs w:val="18"/>
                <w:lang w:eastAsia="zh-CN"/>
              </w:rPr>
              <w:t>、</w:t>
            </w:r>
            <w:r>
              <w:rPr>
                <w:rFonts w:hint="eastAsia" w:ascii="Times New Roman" w:hAnsi="Times New Roman" w:eastAsia="宋体" w:cs="Times New Roman"/>
                <w:sz w:val="18"/>
                <w:szCs w:val="18"/>
              </w:rPr>
              <w:t>财务会计</w:t>
            </w:r>
            <w:r>
              <w:rPr>
                <w:rFonts w:hint="eastAsia" w:cs="Times New Roman"/>
                <w:sz w:val="18"/>
                <w:szCs w:val="18"/>
                <w:lang w:eastAsia="zh-CN"/>
              </w:rPr>
              <w:t>、</w:t>
            </w:r>
            <w:r>
              <w:rPr>
                <w:rFonts w:hint="eastAsia" w:ascii="Times New Roman" w:hAnsi="Times New Roman" w:eastAsia="宋体" w:cs="Times New Roman"/>
                <w:sz w:val="18"/>
                <w:szCs w:val="18"/>
              </w:rPr>
              <w:t>成本会计</w:t>
            </w:r>
            <w:r>
              <w:rPr>
                <w:rFonts w:hint="eastAsia" w:cs="Times New Roman"/>
                <w:sz w:val="18"/>
                <w:szCs w:val="18"/>
                <w:lang w:eastAsia="zh-CN"/>
              </w:rPr>
              <w:t>、</w:t>
            </w:r>
            <w:r>
              <w:rPr>
                <w:rFonts w:hint="eastAsia" w:ascii="Times New Roman" w:hAnsi="Times New Roman" w:eastAsia="宋体" w:cs="Times New Roman"/>
                <w:sz w:val="18"/>
                <w:szCs w:val="18"/>
              </w:rPr>
              <w:t>税务会计</w:t>
            </w:r>
            <w:r>
              <w:rPr>
                <w:rFonts w:hint="eastAsia" w:cs="Times New Roman"/>
                <w:sz w:val="18"/>
                <w:szCs w:val="18"/>
                <w:lang w:eastAsia="zh-CN"/>
              </w:rPr>
              <w:t>、</w:t>
            </w:r>
            <w:r>
              <w:rPr>
                <w:rFonts w:hint="eastAsia" w:ascii="Times New Roman" w:hAnsi="Times New Roman" w:eastAsia="宋体" w:cs="Times New Roman"/>
                <w:sz w:val="18"/>
                <w:szCs w:val="18"/>
                <w:highlight w:val="none"/>
                <w:lang w:val="en-US" w:eastAsia="zh-CN"/>
              </w:rPr>
              <w:t>财务大数据分析</w:t>
            </w:r>
            <w:r>
              <w:rPr>
                <w:rFonts w:hint="eastAsia" w:cs="Times New Roman"/>
                <w:sz w:val="18"/>
                <w:szCs w:val="18"/>
                <w:highlight w:val="none"/>
                <w:lang w:val="en-US" w:eastAsia="zh-CN"/>
              </w:rPr>
              <w:t>、</w:t>
            </w:r>
            <w:r>
              <w:rPr>
                <w:rFonts w:hint="eastAsia" w:ascii="Times New Roman" w:hAnsi="Times New Roman" w:eastAsia="宋体" w:cs="Times New Roman"/>
                <w:sz w:val="18"/>
                <w:szCs w:val="18"/>
              </w:rPr>
              <w:t>管理会计</w:t>
            </w:r>
            <w:r>
              <w:rPr>
                <w:rFonts w:hint="eastAsia" w:cs="Times New Roman"/>
                <w:sz w:val="18"/>
                <w:szCs w:val="18"/>
                <w:lang w:eastAsia="zh-CN"/>
              </w:rPr>
              <w:t>、</w:t>
            </w:r>
            <w:r>
              <w:rPr>
                <w:rFonts w:hint="eastAsia"/>
                <w:sz w:val="18"/>
                <w:szCs w:val="18"/>
              </w:rPr>
              <w:t>财务管理</w:t>
            </w:r>
            <w:r>
              <w:rPr>
                <w:rFonts w:hint="eastAsia"/>
                <w:sz w:val="18"/>
                <w:szCs w:val="18"/>
                <w:lang w:eastAsia="zh-CN"/>
              </w:rPr>
              <w:t>、</w:t>
            </w:r>
            <w:r>
              <w:rPr>
                <w:rFonts w:hint="eastAsia"/>
                <w:sz w:val="18"/>
                <w:szCs w:val="18"/>
              </w:rPr>
              <w:t>市场营销</w:t>
            </w:r>
            <w:r>
              <w:rPr>
                <w:rFonts w:hint="eastAsia"/>
                <w:sz w:val="18"/>
                <w:szCs w:val="18"/>
                <w:lang w:eastAsia="zh-CN"/>
              </w:rPr>
              <w:t>、</w:t>
            </w:r>
            <w:r>
              <w:rPr>
                <w:rFonts w:hint="eastAsia"/>
                <w:sz w:val="18"/>
                <w:szCs w:val="18"/>
              </w:rPr>
              <w:t>人际沟通与交流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0" w:type="dxa"/>
            <w:tcBorders>
              <w:tl2br w:val="nil"/>
              <w:tr2bl w:val="nil"/>
            </w:tcBorders>
            <w:shd w:val="clear" w:color="000000" w:fill="FFFFFF" w:themeFill="background1"/>
            <w:noWrap/>
            <w:vAlign w:val="center"/>
          </w:tcPr>
          <w:p>
            <w:pPr>
              <w:widowControl/>
              <w:spacing w:line="440" w:lineRule="exact"/>
              <w:jc w:val="center"/>
              <w:rPr>
                <w:rFonts w:ascii="宋体" w:hAnsi="宋体" w:cs="宋体"/>
                <w:b w:val="0"/>
                <w:bCs w:val="0"/>
                <w:kern w:val="0"/>
                <w:sz w:val="18"/>
                <w:szCs w:val="18"/>
              </w:rPr>
            </w:pPr>
            <w:r>
              <w:rPr>
                <w:rFonts w:hint="eastAsia" w:ascii="宋体" w:hAnsi="宋体" w:cs="宋体"/>
                <w:b/>
                <w:bCs/>
                <w:kern w:val="0"/>
                <w:sz w:val="18"/>
                <w:szCs w:val="18"/>
              </w:rPr>
              <w:t>9</w:t>
            </w:r>
          </w:p>
        </w:tc>
        <w:tc>
          <w:tcPr>
            <w:tcW w:w="1141"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市场营销</w:t>
            </w:r>
          </w:p>
        </w:tc>
        <w:tc>
          <w:tcPr>
            <w:tcW w:w="813"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文史类</w:t>
            </w:r>
          </w:p>
        </w:tc>
        <w:tc>
          <w:tcPr>
            <w:tcW w:w="700" w:type="dxa"/>
            <w:tcBorders>
              <w:tl2br w:val="nil"/>
              <w:tr2bl w:val="nil"/>
            </w:tcBorders>
            <w:shd w:val="clear" w:color="000000" w:fill="FFFFFF" w:themeFill="background1"/>
            <w:noWrap/>
            <w:vAlign w:val="center"/>
          </w:tcPr>
          <w:p>
            <w:pPr>
              <w:widowControl/>
              <w:spacing w:line="440" w:lineRule="exact"/>
              <w:jc w:val="center"/>
              <w:rPr>
                <w:rFonts w:ascii="宋体" w:hAnsi="宋体" w:cs="宋体"/>
                <w:kern w:val="0"/>
                <w:sz w:val="18"/>
                <w:szCs w:val="18"/>
              </w:rPr>
            </w:pPr>
            <w:r>
              <w:rPr>
                <w:rFonts w:hint="eastAsia" w:ascii="宋体" w:hAnsi="宋体" w:cs="宋体"/>
                <w:kern w:val="0"/>
                <w:sz w:val="18"/>
                <w:szCs w:val="18"/>
              </w:rPr>
              <w:t>函授</w:t>
            </w:r>
          </w:p>
        </w:tc>
        <w:tc>
          <w:tcPr>
            <w:tcW w:w="6100" w:type="dxa"/>
            <w:tcBorders>
              <w:tl2br w:val="nil"/>
              <w:tr2bl w:val="nil"/>
            </w:tcBorders>
            <w:shd w:val="clear" w:color="000000" w:fill="FFFFFF" w:themeFill="background1"/>
            <w:noWrap/>
            <w:vAlign w:val="center"/>
          </w:tcPr>
          <w:p>
            <w:pPr>
              <w:widowControl/>
              <w:spacing w:line="440" w:lineRule="exact"/>
              <w:jc w:val="left"/>
              <w:rPr>
                <w:rFonts w:ascii="宋体" w:hAnsi="宋体" w:cs="宋体"/>
                <w:kern w:val="0"/>
                <w:sz w:val="18"/>
                <w:szCs w:val="18"/>
              </w:rPr>
            </w:pPr>
            <w:r>
              <w:rPr>
                <w:rFonts w:hint="eastAsia"/>
                <w:sz w:val="18"/>
                <w:szCs w:val="18"/>
              </w:rPr>
              <w:t>毛泽东思想和中国特色社会主义理论体系概论</w:t>
            </w:r>
            <w:r>
              <w:rPr>
                <w:rFonts w:hint="eastAsia"/>
                <w:sz w:val="18"/>
                <w:szCs w:val="18"/>
                <w:lang w:eastAsia="zh-CN"/>
              </w:rPr>
              <w:t>、</w:t>
            </w:r>
            <w:r>
              <w:rPr>
                <w:rFonts w:hint="eastAsia"/>
                <w:sz w:val="18"/>
                <w:szCs w:val="18"/>
              </w:rPr>
              <w:t>大学英语</w:t>
            </w:r>
            <w:r>
              <w:rPr>
                <w:rFonts w:hint="eastAsia"/>
                <w:sz w:val="18"/>
                <w:szCs w:val="18"/>
                <w:lang w:eastAsia="zh-CN"/>
              </w:rPr>
              <w:t>、</w:t>
            </w:r>
            <w:r>
              <w:rPr>
                <w:rFonts w:hint="eastAsia"/>
                <w:sz w:val="18"/>
                <w:szCs w:val="18"/>
              </w:rPr>
              <w:t>高等数学</w:t>
            </w:r>
            <w:r>
              <w:rPr>
                <w:rFonts w:hint="eastAsia"/>
                <w:sz w:val="18"/>
                <w:szCs w:val="18"/>
                <w:lang w:eastAsia="zh-CN"/>
              </w:rPr>
              <w:t>、</w:t>
            </w:r>
            <w:r>
              <w:rPr>
                <w:rFonts w:hint="eastAsia"/>
                <w:sz w:val="18"/>
                <w:szCs w:val="18"/>
              </w:rPr>
              <w:t>计算机文化基础</w:t>
            </w:r>
            <w:r>
              <w:rPr>
                <w:rFonts w:hint="eastAsia"/>
                <w:sz w:val="18"/>
                <w:szCs w:val="18"/>
                <w:lang w:eastAsia="zh-CN"/>
              </w:rPr>
              <w:t>、</w:t>
            </w:r>
            <w:r>
              <w:rPr>
                <w:rFonts w:hint="eastAsia"/>
                <w:color w:val="000000"/>
                <w:sz w:val="18"/>
                <w:szCs w:val="18"/>
              </w:rPr>
              <w:t>管理学基础</w:t>
            </w:r>
            <w:r>
              <w:rPr>
                <w:rFonts w:hint="eastAsia"/>
                <w:color w:val="000000"/>
                <w:sz w:val="18"/>
                <w:szCs w:val="18"/>
                <w:lang w:eastAsia="zh-CN"/>
              </w:rPr>
              <w:t>、</w:t>
            </w:r>
            <w:r>
              <w:rPr>
                <w:rFonts w:hint="eastAsia"/>
                <w:color w:val="000000"/>
                <w:sz w:val="18"/>
                <w:szCs w:val="18"/>
              </w:rPr>
              <w:t>西方经济学</w:t>
            </w:r>
            <w:r>
              <w:rPr>
                <w:rFonts w:hint="eastAsia"/>
                <w:color w:val="000000"/>
                <w:sz w:val="18"/>
                <w:szCs w:val="18"/>
                <w:lang w:eastAsia="zh-CN"/>
              </w:rPr>
              <w:t>、</w:t>
            </w:r>
            <w:r>
              <w:rPr>
                <w:rFonts w:hint="eastAsia"/>
                <w:color w:val="000000"/>
                <w:sz w:val="18"/>
                <w:szCs w:val="18"/>
              </w:rPr>
              <w:t>商品学概论</w:t>
            </w:r>
            <w:r>
              <w:rPr>
                <w:rFonts w:hint="eastAsia"/>
                <w:color w:val="000000"/>
                <w:sz w:val="18"/>
                <w:szCs w:val="18"/>
                <w:lang w:eastAsia="zh-CN"/>
              </w:rPr>
              <w:t>、</w:t>
            </w:r>
            <w:r>
              <w:rPr>
                <w:rFonts w:hint="eastAsia"/>
                <w:color w:val="000000"/>
                <w:sz w:val="18"/>
                <w:szCs w:val="18"/>
              </w:rPr>
              <w:t>市场营销</w:t>
            </w:r>
            <w:r>
              <w:rPr>
                <w:rFonts w:hint="eastAsia"/>
                <w:color w:val="000000"/>
                <w:sz w:val="18"/>
                <w:szCs w:val="18"/>
                <w:lang w:eastAsia="zh-CN"/>
              </w:rPr>
              <w:t>、</w:t>
            </w:r>
            <w:r>
              <w:rPr>
                <w:rFonts w:hint="eastAsia"/>
                <w:color w:val="000000"/>
                <w:sz w:val="18"/>
                <w:szCs w:val="18"/>
              </w:rPr>
              <w:t>消费心理学</w:t>
            </w:r>
            <w:r>
              <w:rPr>
                <w:rFonts w:hint="eastAsia"/>
                <w:color w:val="000000"/>
                <w:sz w:val="18"/>
                <w:szCs w:val="18"/>
                <w:lang w:eastAsia="zh-CN"/>
              </w:rPr>
              <w:t>、</w:t>
            </w:r>
            <w:r>
              <w:rPr>
                <w:rFonts w:hint="eastAsia" w:ascii="Times New Roman" w:hAnsi="Times New Roman" w:eastAsia="宋体" w:cs="Times New Roman"/>
                <w:color w:val="000000"/>
                <w:sz w:val="18"/>
                <w:szCs w:val="18"/>
              </w:rPr>
              <w:t>基础会计</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新媒体数据分析</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统计学与Excel 统计分析</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客户关系管理</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新媒体营销与运营</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推销技巧</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促销策划</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电子商务</w:t>
            </w:r>
            <w:r>
              <w:rPr>
                <w:rFonts w:hint="eastAsia" w:cs="Times New Roman"/>
                <w:color w:val="000000"/>
                <w:sz w:val="18"/>
                <w:szCs w:val="18"/>
                <w:lang w:eastAsia="zh-CN"/>
              </w:rPr>
              <w:t>、</w:t>
            </w:r>
            <w:r>
              <w:rPr>
                <w:rFonts w:hint="eastAsia" w:ascii="Times New Roman" w:hAnsi="Times New Roman" w:eastAsia="宋体" w:cs="Times New Roman"/>
                <w:color w:val="000000"/>
                <w:sz w:val="18"/>
                <w:szCs w:val="18"/>
              </w:rPr>
              <w:t>人际沟通与交流</w:t>
            </w:r>
          </w:p>
        </w:tc>
      </w:tr>
    </w:tbl>
    <w:p>
      <w:pPr>
        <w:spacing w:line="440" w:lineRule="exact"/>
        <w:ind w:firstLine="482" w:firstLineChars="200"/>
        <w:rPr>
          <w:b/>
          <w:sz w:val="24"/>
        </w:rPr>
      </w:pPr>
      <w:r>
        <w:rPr>
          <w:rFonts w:hint="eastAsia"/>
          <w:b/>
          <w:sz w:val="24"/>
        </w:rPr>
        <w:t>三、招生对象、</w:t>
      </w:r>
      <w:r>
        <w:rPr>
          <w:b/>
          <w:sz w:val="24"/>
        </w:rPr>
        <w:t>报名条件</w:t>
      </w:r>
      <w:r>
        <w:rPr>
          <w:rFonts w:hint="eastAsia"/>
          <w:b/>
          <w:sz w:val="24"/>
        </w:rPr>
        <w:t>和“双元制”专业加分政策</w:t>
      </w:r>
    </w:p>
    <w:p>
      <w:pPr>
        <w:widowControl/>
        <w:spacing w:line="440" w:lineRule="exact"/>
        <w:ind w:firstLine="420" w:firstLineChars="200"/>
        <w:jc w:val="left"/>
        <w:rPr>
          <w:szCs w:val="21"/>
        </w:rPr>
      </w:pPr>
      <w:r>
        <w:rPr>
          <w:rFonts w:hint="eastAsia"/>
          <w:szCs w:val="21"/>
        </w:rPr>
        <w:t>考生应遵守中华人民共和国宪法和法律，身体健康，具有高中（含中专、职高、技校）毕业文化程度或同等学力（</w:t>
      </w:r>
      <w:r>
        <w:rPr>
          <w:szCs w:val="21"/>
        </w:rPr>
        <w:t>18</w:t>
      </w:r>
      <w:r>
        <w:rPr>
          <w:rFonts w:hint="eastAsia"/>
          <w:szCs w:val="21"/>
        </w:rPr>
        <w:t>周岁以上）</w:t>
      </w:r>
      <w:r>
        <w:rPr>
          <w:szCs w:val="21"/>
        </w:rPr>
        <w:t>。</w:t>
      </w:r>
    </w:p>
    <w:p>
      <w:pPr>
        <w:widowControl/>
        <w:spacing w:line="440" w:lineRule="exact"/>
        <w:ind w:firstLine="420" w:firstLineChars="200"/>
        <w:jc w:val="left"/>
        <w:rPr>
          <w:szCs w:val="21"/>
        </w:rPr>
      </w:pPr>
      <w:r>
        <w:rPr>
          <w:rFonts w:hint="eastAsia"/>
          <w:szCs w:val="21"/>
        </w:rPr>
        <w:t>报考护理专业的考生应当取得省级卫生行政部门颁发的执业护士证书。</w:t>
      </w:r>
    </w:p>
    <w:p>
      <w:pPr>
        <w:widowControl/>
        <w:spacing w:line="440" w:lineRule="exact"/>
        <w:ind w:firstLine="420" w:firstLineChars="200"/>
        <w:jc w:val="left"/>
        <w:rPr>
          <w:szCs w:val="21"/>
        </w:rPr>
      </w:pPr>
      <w:r>
        <w:rPr>
          <w:rFonts w:hint="eastAsia"/>
          <w:szCs w:val="21"/>
        </w:rPr>
        <w:t>同时具有高中学历（含职高、普高、中专、技校）、中级工以上职业资格和二年以上工作经验的企业在职人员可填报“双元制”专业志愿。“双元制”在录取时采用以下加分政策：首先是执行成人高校招生统一加分政策；其次是具有中级工职业资格的考生加20分、具有高级工及以上职业资格的加30分。统一加分政策优先于职业资格加分，同时符合两项及以上加分政策的考生不得累计加分，按其中最大加分值项目加分。</w:t>
      </w:r>
    </w:p>
    <w:p>
      <w:pPr>
        <w:spacing w:line="440" w:lineRule="exact"/>
        <w:rPr>
          <w:b/>
          <w:sz w:val="24"/>
        </w:rPr>
      </w:pPr>
    </w:p>
    <w:p>
      <w:pPr>
        <w:spacing w:line="440" w:lineRule="exact"/>
        <w:ind w:firstLine="482" w:firstLineChars="200"/>
        <w:rPr>
          <w:b/>
          <w:sz w:val="24"/>
        </w:rPr>
      </w:pPr>
      <w:r>
        <w:rPr>
          <w:rFonts w:hint="eastAsia"/>
          <w:b/>
          <w:sz w:val="24"/>
        </w:rPr>
        <w:t>四、成人高考报名、考试及录取等</w:t>
      </w:r>
    </w:p>
    <w:p>
      <w:pPr>
        <w:spacing w:line="440" w:lineRule="exact"/>
        <w:ind w:firstLine="420" w:firstLineChars="200"/>
        <w:rPr>
          <w:szCs w:val="21"/>
        </w:rPr>
      </w:pPr>
      <w:r>
        <w:rPr>
          <w:rFonts w:hint="eastAsia"/>
          <w:szCs w:val="21"/>
        </w:rPr>
        <w:t xml:space="preserve">1.报名 </w:t>
      </w:r>
    </w:p>
    <w:p>
      <w:pPr>
        <w:spacing w:line="440" w:lineRule="exact"/>
        <w:ind w:firstLine="420" w:firstLineChars="200"/>
        <w:rPr>
          <w:szCs w:val="21"/>
        </w:rPr>
      </w:pPr>
      <w:r>
        <w:rPr>
          <w:rFonts w:hint="eastAsia"/>
          <w:szCs w:val="21"/>
        </w:rPr>
        <w:t>0</w:t>
      </w:r>
      <w:r>
        <w:rPr>
          <w:szCs w:val="21"/>
        </w:rPr>
        <w:t>1</w:t>
      </w:r>
      <w:r>
        <w:rPr>
          <w:rFonts w:hint="eastAsia"/>
          <w:szCs w:val="21"/>
        </w:rPr>
        <w:t xml:space="preserve">.报名时间 </w:t>
      </w:r>
      <w:r>
        <w:rPr>
          <w:szCs w:val="21"/>
        </w:rPr>
        <w:t xml:space="preserve"> </w:t>
      </w:r>
      <w:r>
        <w:rPr>
          <w:rFonts w:hint="eastAsia"/>
          <w:szCs w:val="21"/>
        </w:rPr>
        <w:t>9月上旬，具体报名时间由浙江省教育考试院发布。</w:t>
      </w:r>
    </w:p>
    <w:p>
      <w:pPr>
        <w:spacing w:line="440" w:lineRule="exact"/>
        <w:ind w:firstLine="420" w:firstLineChars="200"/>
        <w:rPr>
          <w:szCs w:val="21"/>
        </w:rPr>
      </w:pPr>
      <w:r>
        <w:rPr>
          <w:rFonts w:hint="eastAsia"/>
          <w:szCs w:val="21"/>
        </w:rPr>
        <w:t>0</w:t>
      </w:r>
      <w:r>
        <w:rPr>
          <w:szCs w:val="21"/>
        </w:rPr>
        <w:t>2</w:t>
      </w:r>
      <w:r>
        <w:rPr>
          <w:rFonts w:hint="eastAsia"/>
          <w:szCs w:val="21"/>
        </w:rPr>
        <w:t xml:space="preserve">.程序 </w:t>
      </w:r>
      <w:r>
        <w:rPr>
          <w:szCs w:val="21"/>
        </w:rPr>
        <w:t xml:space="preserve"> </w:t>
      </w:r>
      <w:r>
        <w:rPr>
          <w:rFonts w:hint="eastAsia"/>
          <w:szCs w:val="21"/>
        </w:rPr>
        <w:t>第一阶段为网上报名：由考生通过浙江教育考试网</w:t>
      </w:r>
      <w:r>
        <w:rPr>
          <w:szCs w:val="21"/>
        </w:rPr>
        <w:t>http://www.zjzs.net/</w:t>
      </w:r>
      <w:r>
        <w:rPr>
          <w:rFonts w:hint="eastAsia"/>
          <w:szCs w:val="21"/>
        </w:rPr>
        <w:t>自行填报基本信息，同时记录下网报号及密码，用于现场报名确认（或网上确认）。</w:t>
      </w:r>
    </w:p>
    <w:p>
      <w:pPr>
        <w:spacing w:line="440" w:lineRule="exact"/>
        <w:ind w:firstLine="420" w:firstLineChars="200"/>
        <w:rPr>
          <w:szCs w:val="21"/>
        </w:rPr>
      </w:pPr>
      <w:r>
        <w:rPr>
          <w:rFonts w:hint="eastAsia"/>
          <w:szCs w:val="21"/>
        </w:rPr>
        <w:t>注意：报名照按</w:t>
      </w:r>
      <w:r>
        <w:rPr>
          <w:rFonts w:hint="eastAsia"/>
          <w:b/>
          <w:bCs/>
          <w:szCs w:val="21"/>
        </w:rPr>
        <w:t>证件照</w:t>
      </w:r>
      <w:r>
        <w:rPr>
          <w:rFonts w:hint="eastAsia"/>
          <w:szCs w:val="21"/>
        </w:rPr>
        <w:t>要求拍摄，录取后将作为入学照，无法更改。毕业审核时，录取照、毕业照、身份证三方照片系统自动审核匹配，匹配度不达标不予毕业。</w:t>
      </w:r>
    </w:p>
    <w:p>
      <w:pPr>
        <w:spacing w:line="440" w:lineRule="exact"/>
        <w:ind w:firstLine="420" w:firstLineChars="200"/>
        <w:rPr>
          <w:szCs w:val="21"/>
        </w:rPr>
      </w:pPr>
      <w:r>
        <w:rPr>
          <w:rFonts w:hint="eastAsia"/>
          <w:szCs w:val="21"/>
        </w:rPr>
        <w:t>第二阶段为交费阶段：报名成功后待浙江省教育考试院网上审核通过再缴纳报名费。</w:t>
      </w:r>
    </w:p>
    <w:p>
      <w:pPr>
        <w:spacing w:line="440" w:lineRule="exact"/>
        <w:ind w:firstLine="420" w:firstLineChars="200"/>
        <w:rPr>
          <w:szCs w:val="21"/>
        </w:rPr>
      </w:pPr>
      <w:r>
        <w:rPr>
          <w:rFonts w:hint="eastAsia"/>
          <w:szCs w:val="21"/>
        </w:rPr>
        <w:t>若网上审核未通过则需要现场确认：由考生本人持相关证件，到报名现场接受资格审查、确认、交费。</w:t>
      </w:r>
    </w:p>
    <w:p>
      <w:pPr>
        <w:spacing w:line="440" w:lineRule="exact"/>
        <w:ind w:firstLine="420" w:firstLineChars="200"/>
        <w:rPr>
          <w:szCs w:val="21"/>
        </w:rPr>
      </w:pPr>
      <w:r>
        <w:rPr>
          <w:rFonts w:hint="eastAsia"/>
          <w:szCs w:val="21"/>
        </w:rPr>
        <w:t>0</w:t>
      </w:r>
      <w:r>
        <w:rPr>
          <w:szCs w:val="21"/>
        </w:rPr>
        <w:t>3</w:t>
      </w:r>
      <w:r>
        <w:rPr>
          <w:rFonts w:hint="eastAsia"/>
          <w:szCs w:val="21"/>
        </w:rPr>
        <w:t>.确认地点 网上报名时所选择的确认点（当地考试院、县</w:t>
      </w:r>
      <w:r>
        <w:rPr>
          <w:szCs w:val="21"/>
        </w:rPr>
        <w:t>(</w:t>
      </w:r>
      <w:r>
        <w:rPr>
          <w:rFonts w:hint="eastAsia"/>
          <w:szCs w:val="21"/>
        </w:rPr>
        <w:t>市</w:t>
      </w:r>
      <w:r>
        <w:rPr>
          <w:szCs w:val="21"/>
        </w:rPr>
        <w:t>)</w:t>
      </w:r>
      <w:r>
        <w:rPr>
          <w:rFonts w:hint="eastAsia"/>
          <w:szCs w:val="21"/>
        </w:rPr>
        <w:t>招办等）。</w:t>
      </w:r>
    </w:p>
    <w:p>
      <w:pPr>
        <w:spacing w:line="440" w:lineRule="exact"/>
        <w:ind w:firstLine="420" w:firstLineChars="200"/>
        <w:rPr>
          <w:rFonts w:hint="eastAsia"/>
          <w:szCs w:val="21"/>
        </w:rPr>
      </w:pPr>
    </w:p>
    <w:p>
      <w:pPr>
        <w:spacing w:line="440" w:lineRule="exact"/>
        <w:ind w:firstLine="420" w:firstLineChars="200"/>
        <w:rPr>
          <w:szCs w:val="21"/>
        </w:rPr>
      </w:pPr>
      <w:r>
        <w:rPr>
          <w:rFonts w:hint="eastAsia"/>
          <w:szCs w:val="21"/>
        </w:rPr>
        <w:t>2.考试</w:t>
      </w:r>
    </w:p>
    <w:p>
      <w:pPr>
        <w:spacing w:line="440" w:lineRule="exact"/>
        <w:ind w:firstLine="420" w:firstLineChars="200"/>
        <w:rPr>
          <w:szCs w:val="21"/>
        </w:rPr>
      </w:pPr>
      <w:r>
        <w:rPr>
          <w:rFonts w:hint="eastAsia"/>
          <w:szCs w:val="21"/>
        </w:rPr>
        <w:t>0</w:t>
      </w:r>
      <w:r>
        <w:rPr>
          <w:szCs w:val="21"/>
        </w:rPr>
        <w:t>1</w:t>
      </w:r>
      <w:r>
        <w:rPr>
          <w:rFonts w:hint="eastAsia"/>
          <w:szCs w:val="21"/>
        </w:rPr>
        <w:t>.考试时间 10月中下旬</w:t>
      </w:r>
    </w:p>
    <w:p>
      <w:pPr>
        <w:spacing w:line="440" w:lineRule="exact"/>
        <w:ind w:firstLine="420" w:firstLineChars="200"/>
        <w:rPr>
          <w:szCs w:val="21"/>
        </w:rPr>
      </w:pPr>
      <w:r>
        <w:rPr>
          <w:rFonts w:hint="eastAsia"/>
          <w:szCs w:val="21"/>
        </w:rPr>
        <w:t>0</w:t>
      </w:r>
      <w:r>
        <w:rPr>
          <w:szCs w:val="21"/>
        </w:rPr>
        <w:t>2</w:t>
      </w:r>
      <w:r>
        <w:rPr>
          <w:rFonts w:hint="eastAsia"/>
          <w:szCs w:val="21"/>
        </w:rPr>
        <w:t>.考试科目 语文、数学（文或理）、英语</w:t>
      </w:r>
    </w:p>
    <w:p>
      <w:pPr>
        <w:spacing w:line="440" w:lineRule="exact"/>
        <w:ind w:firstLine="420" w:firstLineChars="200"/>
        <w:rPr>
          <w:szCs w:val="21"/>
        </w:rPr>
      </w:pPr>
      <w:r>
        <w:rPr>
          <w:rFonts w:hint="eastAsia"/>
          <w:szCs w:val="21"/>
        </w:rPr>
        <w:t>0</w:t>
      </w:r>
      <w:r>
        <w:rPr>
          <w:szCs w:val="21"/>
        </w:rPr>
        <w:t>3</w:t>
      </w:r>
      <w:r>
        <w:rPr>
          <w:rFonts w:hint="eastAsia"/>
          <w:szCs w:val="21"/>
        </w:rPr>
        <w:t>.考试结束后，考生凭网报时设置的密码登录浙江省教育考试网成人高校招生报名系统进行志愿确认。</w:t>
      </w:r>
    </w:p>
    <w:p>
      <w:pPr>
        <w:spacing w:line="440" w:lineRule="exact"/>
        <w:ind w:firstLine="422" w:firstLineChars="200"/>
        <w:rPr>
          <w:b/>
          <w:bCs/>
          <w:szCs w:val="21"/>
        </w:rPr>
      </w:pPr>
      <w:r>
        <w:rPr>
          <w:rFonts w:hint="eastAsia"/>
          <w:b/>
          <w:bCs/>
          <w:szCs w:val="21"/>
        </w:rPr>
        <w:t>以上专业、报名程序与时间以浙江省教育考试院最终公布为准</w:t>
      </w:r>
    </w:p>
    <w:p>
      <w:pPr>
        <w:spacing w:line="440" w:lineRule="exact"/>
        <w:ind w:firstLine="518" w:firstLineChars="247"/>
        <w:rPr>
          <w:rFonts w:hint="eastAsia"/>
          <w:szCs w:val="21"/>
        </w:rPr>
      </w:pPr>
    </w:p>
    <w:p>
      <w:pPr>
        <w:spacing w:line="440" w:lineRule="exact"/>
        <w:ind w:firstLine="518" w:firstLineChars="247"/>
        <w:rPr>
          <w:szCs w:val="21"/>
        </w:rPr>
      </w:pPr>
      <w:r>
        <w:rPr>
          <w:rFonts w:hint="eastAsia"/>
          <w:szCs w:val="21"/>
        </w:rPr>
        <w:t>3.录取</w:t>
      </w:r>
    </w:p>
    <w:p>
      <w:pPr>
        <w:spacing w:line="440" w:lineRule="exact"/>
        <w:ind w:firstLine="630" w:firstLineChars="300"/>
        <w:rPr>
          <w:szCs w:val="21"/>
        </w:rPr>
      </w:pPr>
      <w:r>
        <w:rPr>
          <w:rFonts w:hint="eastAsia"/>
          <w:szCs w:val="21"/>
        </w:rPr>
        <w:t>根据省高校招生委员会规定及我校招生章程进行录取，录取考生人数不足开班要求的专业，学校在征询考生和教学点意见基础上有权调整到相近专业或就近教学点就读，否则作退档处理。成人高考成绩达到最低控制分数线且第一志愿填报我校各专业的考生优先录取。录取时间为每年十二月中下旬。</w:t>
      </w:r>
    </w:p>
    <w:p>
      <w:pPr>
        <w:spacing w:line="440" w:lineRule="exact"/>
        <w:ind w:firstLine="630" w:firstLineChars="300"/>
        <w:rPr>
          <w:szCs w:val="21"/>
        </w:rPr>
      </w:pPr>
    </w:p>
    <w:p>
      <w:pPr>
        <w:spacing w:line="440" w:lineRule="exact"/>
        <w:ind w:firstLine="420" w:firstLineChars="200"/>
        <w:rPr>
          <w:szCs w:val="21"/>
        </w:rPr>
      </w:pPr>
      <w:r>
        <w:rPr>
          <w:rFonts w:hint="eastAsia"/>
          <w:szCs w:val="21"/>
        </w:rPr>
        <w:t>4.缴费</w:t>
      </w:r>
    </w:p>
    <w:p>
      <w:pPr>
        <w:spacing w:line="440" w:lineRule="exact"/>
        <w:ind w:firstLine="420" w:firstLineChars="200"/>
        <w:rPr>
          <w:szCs w:val="21"/>
        </w:rPr>
      </w:pPr>
      <w:r>
        <w:rPr>
          <w:szCs w:val="21"/>
        </w:rPr>
        <w:t>01</w:t>
      </w:r>
      <w:r>
        <w:rPr>
          <w:rFonts w:hint="eastAsia"/>
          <w:szCs w:val="21"/>
        </w:rPr>
        <w:t>.被我校录取后，每年3月自行通过学校财务收费平台进行缴费。学校未授权任何机构或个人代收。</w:t>
      </w:r>
    </w:p>
    <w:p>
      <w:pPr>
        <w:spacing w:line="440" w:lineRule="exact"/>
        <w:ind w:firstLine="420" w:firstLineChars="200"/>
        <w:rPr>
          <w:szCs w:val="21"/>
        </w:rPr>
      </w:pPr>
      <w:r>
        <w:rPr>
          <w:rFonts w:hint="eastAsia"/>
          <w:szCs w:val="21"/>
        </w:rPr>
        <w:t>0</w:t>
      </w:r>
      <w:r>
        <w:rPr>
          <w:szCs w:val="21"/>
        </w:rPr>
        <w:t>2</w:t>
      </w:r>
      <w:r>
        <w:rPr>
          <w:rFonts w:hint="eastAsia"/>
          <w:szCs w:val="21"/>
        </w:rPr>
        <w:t>.交费方式：支付宝</w:t>
      </w:r>
      <w:r>
        <w:rPr>
          <w:rFonts w:ascii="Arial" w:hAnsi="Arial" w:cs="Arial"/>
          <w:szCs w:val="21"/>
        </w:rPr>
        <w:t>→</w:t>
      </w:r>
      <w:r>
        <w:rPr>
          <w:rFonts w:hint="eastAsia"/>
          <w:szCs w:val="21"/>
        </w:rPr>
        <w:t>搜索缴学费</w:t>
      </w:r>
      <w:r>
        <w:rPr>
          <w:rFonts w:ascii="Arial" w:hAnsi="Arial" w:cs="Arial"/>
          <w:szCs w:val="21"/>
        </w:rPr>
        <w:t>→</w:t>
      </w:r>
      <w:r>
        <w:rPr>
          <w:rFonts w:hint="eastAsia"/>
          <w:szCs w:val="21"/>
        </w:rPr>
        <w:t>衢州市</w:t>
      </w:r>
      <w:r>
        <w:rPr>
          <w:rFonts w:ascii="Arial" w:hAnsi="Arial" w:cs="Arial"/>
          <w:szCs w:val="21"/>
        </w:rPr>
        <w:t>→</w:t>
      </w:r>
      <w:r>
        <w:rPr>
          <w:rFonts w:hint="eastAsia"/>
          <w:szCs w:val="21"/>
        </w:rPr>
        <w:t>衢州职业技术学院</w:t>
      </w:r>
      <w:r>
        <w:rPr>
          <w:rFonts w:ascii="Arial" w:hAnsi="Arial" w:cs="Arial"/>
          <w:szCs w:val="21"/>
        </w:rPr>
        <w:t>→</w:t>
      </w:r>
      <w:r>
        <w:rPr>
          <w:rFonts w:hint="eastAsia"/>
          <w:szCs w:val="21"/>
        </w:rPr>
        <w:t>查询缴费单</w:t>
      </w:r>
      <w:r>
        <w:rPr>
          <w:rFonts w:ascii="Arial" w:hAnsi="Arial" w:cs="Arial"/>
          <w:szCs w:val="21"/>
        </w:rPr>
        <w:t>→</w:t>
      </w:r>
      <w:r>
        <w:rPr>
          <w:rFonts w:hint="eastAsia"/>
          <w:szCs w:val="21"/>
        </w:rPr>
        <w:t>核对自己交费信息</w:t>
      </w:r>
      <w:r>
        <w:rPr>
          <w:rFonts w:ascii="Arial" w:hAnsi="Arial" w:cs="Arial"/>
          <w:szCs w:val="21"/>
        </w:rPr>
        <w:t>→</w:t>
      </w:r>
      <w:r>
        <w:rPr>
          <w:rFonts w:hint="eastAsia"/>
          <w:szCs w:val="21"/>
        </w:rPr>
        <w:t>确认无误后支付费用。</w:t>
      </w:r>
    </w:p>
    <w:p>
      <w:pPr>
        <w:spacing w:line="440" w:lineRule="exact"/>
        <w:ind w:firstLine="420" w:firstLineChars="200"/>
        <w:rPr>
          <w:szCs w:val="21"/>
        </w:rPr>
      </w:pPr>
      <w:r>
        <w:rPr>
          <w:rFonts w:hint="eastAsia"/>
          <w:szCs w:val="21"/>
        </w:rPr>
        <w:t>0</w:t>
      </w:r>
      <w:r>
        <w:rPr>
          <w:szCs w:val="21"/>
        </w:rPr>
        <w:t>3</w:t>
      </w:r>
      <w:r>
        <w:rPr>
          <w:rFonts w:hint="eastAsia"/>
          <w:szCs w:val="21"/>
        </w:rPr>
        <w:t>.收费标准：按省市物价局、财政厅、教育厅有关文件规定标准执行，理工类9</w:t>
      </w:r>
      <w:r>
        <w:rPr>
          <w:szCs w:val="21"/>
        </w:rPr>
        <w:t>000</w:t>
      </w:r>
      <w:r>
        <w:rPr>
          <w:rFonts w:hint="eastAsia"/>
          <w:szCs w:val="21"/>
        </w:rPr>
        <w:t>元，文史类8</w:t>
      </w:r>
      <w:r>
        <w:rPr>
          <w:szCs w:val="21"/>
        </w:rPr>
        <w:t>100</w:t>
      </w:r>
      <w:r>
        <w:rPr>
          <w:rFonts w:hint="eastAsia"/>
          <w:szCs w:val="21"/>
        </w:rPr>
        <w:t>元。</w:t>
      </w:r>
    </w:p>
    <w:p>
      <w:pPr>
        <w:spacing w:line="440" w:lineRule="exact"/>
        <w:rPr>
          <w:szCs w:val="21"/>
        </w:rPr>
      </w:pPr>
    </w:p>
    <w:p>
      <w:pPr>
        <w:spacing w:line="440" w:lineRule="exact"/>
        <w:ind w:firstLine="420" w:firstLineChars="200"/>
        <w:rPr>
          <w:szCs w:val="21"/>
        </w:rPr>
      </w:pPr>
      <w:r>
        <w:rPr>
          <w:rFonts w:hint="eastAsia"/>
          <w:szCs w:val="21"/>
        </w:rPr>
        <w:t>（五）学制和学习形式</w:t>
      </w:r>
    </w:p>
    <w:p>
      <w:pPr>
        <w:spacing w:line="440" w:lineRule="exact"/>
        <w:ind w:firstLine="420" w:firstLineChars="200"/>
        <w:rPr>
          <w:szCs w:val="21"/>
        </w:rPr>
      </w:pPr>
      <w:r>
        <w:rPr>
          <w:rFonts w:hint="eastAsia"/>
          <w:szCs w:val="21"/>
        </w:rPr>
        <w:t>学制：2.</w:t>
      </w:r>
      <w:r>
        <w:rPr>
          <w:szCs w:val="21"/>
        </w:rPr>
        <w:t>5</w:t>
      </w:r>
      <w:r>
        <w:rPr>
          <w:rFonts w:hint="eastAsia"/>
          <w:szCs w:val="21"/>
        </w:rPr>
        <w:t>年。</w:t>
      </w:r>
    </w:p>
    <w:p>
      <w:pPr>
        <w:spacing w:line="440" w:lineRule="exact"/>
        <w:ind w:firstLine="420" w:firstLineChars="200"/>
        <w:rPr>
          <w:szCs w:val="21"/>
        </w:rPr>
      </w:pPr>
      <w:r>
        <w:rPr>
          <w:rFonts w:hint="eastAsia"/>
          <w:szCs w:val="21"/>
        </w:rPr>
        <w:t>学习形式：函授、业余。采取线上教学为主，线下面授为辅的形式。</w:t>
      </w:r>
    </w:p>
    <w:p>
      <w:pPr>
        <w:spacing w:line="440" w:lineRule="exact"/>
        <w:ind w:firstLine="420" w:firstLineChars="200"/>
        <w:rPr>
          <w:szCs w:val="21"/>
        </w:rPr>
      </w:pPr>
      <w:r>
        <w:rPr>
          <w:rFonts w:hint="eastAsia"/>
          <w:szCs w:val="21"/>
        </w:rPr>
        <w:t>（六）学历及待遇</w:t>
      </w:r>
    </w:p>
    <w:p>
      <w:pPr>
        <w:spacing w:line="440" w:lineRule="exact"/>
        <w:ind w:firstLine="420" w:firstLineChars="200"/>
        <w:rPr>
          <w:szCs w:val="21"/>
        </w:rPr>
      </w:pPr>
      <w:r>
        <w:rPr>
          <w:rFonts w:hint="eastAsia"/>
          <w:szCs w:val="21"/>
        </w:rPr>
        <w:t>学生在有效学习期内，修完教学计划规定的课程并成绩合格，通过毕业资格综合审查，核发衢州职业技术学院毕业证书（含“成人高等教育”字样），按教育部规定统一学信网电子注册，国家承认学历。</w:t>
      </w:r>
    </w:p>
    <w:p>
      <w:pPr>
        <w:spacing w:line="440" w:lineRule="exact"/>
        <w:ind w:firstLine="420" w:firstLineChars="200"/>
        <w:rPr>
          <w:szCs w:val="21"/>
        </w:rPr>
      </w:pPr>
      <w:r>
        <w:rPr>
          <w:rFonts w:hint="eastAsia"/>
          <w:szCs w:val="21"/>
        </w:rPr>
        <w:t>如遇成人高等学历教育相关政策调整，则按调整后政策执行。</w:t>
      </w:r>
    </w:p>
    <w:p>
      <w:pPr>
        <w:spacing w:line="440" w:lineRule="exact"/>
        <w:ind w:left="420" w:leftChars="200" w:firstLine="472" w:firstLineChars="197"/>
        <w:rPr>
          <w:rFonts w:ascii="黑体" w:hAnsi="黑体" w:eastAsia="黑体" w:cs="黑体"/>
          <w:sz w:val="24"/>
        </w:rPr>
      </w:pPr>
    </w:p>
    <w:p>
      <w:pPr>
        <w:spacing w:line="440" w:lineRule="exact"/>
        <w:ind w:firstLine="354" w:firstLineChars="147"/>
        <w:rPr>
          <w:b/>
          <w:sz w:val="24"/>
        </w:rPr>
      </w:pPr>
      <w:r>
        <w:rPr>
          <w:rFonts w:hint="eastAsia"/>
          <w:b/>
          <w:sz w:val="24"/>
        </w:rPr>
        <w:t>五、联系方式</w:t>
      </w:r>
    </w:p>
    <w:p>
      <w:pPr>
        <w:spacing w:line="440" w:lineRule="exact"/>
        <w:ind w:firstLine="833" w:firstLineChars="397"/>
      </w:pPr>
      <w:r>
        <w:rPr>
          <w:rFonts w:hint="eastAsia"/>
        </w:rPr>
        <w:t>咨询热线：</w:t>
      </w:r>
      <w:r>
        <w:t>0570-80</w:t>
      </w:r>
      <w:r>
        <w:rPr>
          <w:rFonts w:hint="eastAsia"/>
        </w:rPr>
        <w:t>68600</w:t>
      </w:r>
      <w:r>
        <w:t xml:space="preserve">  15268084037</w:t>
      </w:r>
      <w:r>
        <w:rPr>
          <w:rFonts w:hint="eastAsia"/>
          <w:lang w:val="en-US" w:eastAsia="zh-CN"/>
        </w:rPr>
        <w:t xml:space="preserve">  </w:t>
      </w:r>
      <w:r>
        <w:rPr>
          <w:rFonts w:hint="eastAsia"/>
        </w:rPr>
        <w:t xml:space="preserve">吴老师 </w:t>
      </w:r>
      <w:r>
        <w:t xml:space="preserve"> </w:t>
      </w:r>
      <w:r>
        <w:rPr>
          <w:rFonts w:hint="eastAsia"/>
        </w:rPr>
        <w:t xml:space="preserve">郑老师  </w:t>
      </w:r>
    </w:p>
    <w:p>
      <w:pPr>
        <w:spacing w:line="440" w:lineRule="exact"/>
        <w:ind w:firstLine="833" w:firstLineChars="397"/>
      </w:pPr>
      <w:r>
        <w:rPr>
          <w:rFonts w:hint="eastAsia"/>
        </w:rPr>
        <w:t>地址：浙江省衢州市柯城区白云街道江源路18号</w:t>
      </w:r>
    </w:p>
    <w:p>
      <w:pPr>
        <w:spacing w:line="440" w:lineRule="exact"/>
        <w:ind w:firstLine="833" w:firstLineChars="397"/>
        <w:rPr>
          <w:rFonts w:hint="eastAsia" w:eastAsia="宋体"/>
          <w:lang w:eastAsia="zh-CN"/>
        </w:rPr>
      </w:pPr>
      <w:r>
        <w:rPr>
          <w:rFonts w:hint="eastAsia"/>
          <w:lang w:val="en-US" w:eastAsia="zh-CN"/>
        </w:rPr>
        <w:t>网址：</w:t>
      </w:r>
      <w:r>
        <w:rPr>
          <w:rFonts w:hint="eastAsia"/>
        </w:rPr>
        <w:t>https://jxjy.qzct.net/</w:t>
      </w:r>
      <w:r>
        <w:rPr>
          <w:rFonts w:hint="eastAsia"/>
          <w:lang w:eastAsia="zh-CN"/>
        </w:rPr>
        <w:t>（http://192.168.10.100/index.jsp?_p=YXM9NTc=）</w:t>
      </w:r>
    </w:p>
    <w:p>
      <w:pPr>
        <w:spacing w:line="440" w:lineRule="exact"/>
        <w:ind w:firstLine="833" w:firstLineChars="397"/>
      </w:pPr>
      <w:r>
        <w:rPr>
          <w:rFonts w:hint="eastAsia"/>
        </w:rPr>
        <w:drawing>
          <wp:anchor distT="0" distB="0" distL="114935" distR="114935" simplePos="0" relativeHeight="251659264" behindDoc="0" locked="0" layoutInCell="1" allowOverlap="1">
            <wp:simplePos x="0" y="0"/>
            <wp:positionH relativeFrom="column">
              <wp:posOffset>777240</wp:posOffset>
            </wp:positionH>
            <wp:positionV relativeFrom="paragraph">
              <wp:posOffset>131445</wp:posOffset>
            </wp:positionV>
            <wp:extent cx="2056765" cy="2056765"/>
            <wp:effectExtent l="0" t="0" r="635" b="635"/>
            <wp:wrapNone/>
            <wp:docPr id="2" name="图片 2" descr="1074ce345d9048118986144ccafa3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74ce345d9048118986144ccafa38c"/>
                    <pic:cNvPicPr>
                      <a:picLocks noChangeAspect="1"/>
                    </pic:cNvPicPr>
                  </pic:nvPicPr>
                  <pic:blipFill>
                    <a:blip r:embed="rId4"/>
                    <a:stretch>
                      <a:fillRect/>
                    </a:stretch>
                  </pic:blipFill>
                  <pic:spPr>
                    <a:xfrm>
                      <a:off x="0" y="0"/>
                      <a:ext cx="2056765" cy="2056765"/>
                    </a:xfrm>
                    <a:prstGeom prst="rect">
                      <a:avLst/>
                    </a:prstGeom>
                  </pic:spPr>
                </pic:pic>
              </a:graphicData>
            </a:graphic>
          </wp:anchor>
        </w:drawing>
      </w:r>
    </w:p>
    <w:p>
      <w:pPr>
        <w:spacing w:line="440" w:lineRule="exact"/>
        <w:ind w:firstLine="833" w:firstLineChars="397"/>
      </w:pPr>
    </w:p>
    <w:p>
      <w:pPr>
        <w:spacing w:line="440" w:lineRule="exact"/>
        <w:ind w:firstLine="833" w:firstLineChars="397"/>
      </w:pPr>
    </w:p>
    <w:p>
      <w:pPr>
        <w:spacing w:line="440" w:lineRule="exact"/>
        <w:ind w:firstLine="833" w:firstLineChars="397"/>
      </w:pPr>
    </w:p>
    <w:p>
      <w:pPr>
        <w:spacing w:line="440" w:lineRule="exact"/>
        <w:ind w:firstLine="833" w:firstLineChars="397"/>
      </w:pPr>
      <w:bookmarkStart w:id="1" w:name="_GoBack"/>
      <w:bookmarkEnd w:id="1"/>
    </w:p>
    <w:sectPr>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8D"/>
    <w:rsid w:val="000232BE"/>
    <w:rsid w:val="000344B5"/>
    <w:rsid w:val="000345B9"/>
    <w:rsid w:val="000367C2"/>
    <w:rsid w:val="0006705D"/>
    <w:rsid w:val="00071D18"/>
    <w:rsid w:val="000D730A"/>
    <w:rsid w:val="000F5A3B"/>
    <w:rsid w:val="0010141D"/>
    <w:rsid w:val="00106020"/>
    <w:rsid w:val="00151526"/>
    <w:rsid w:val="001822AA"/>
    <w:rsid w:val="00196F7D"/>
    <w:rsid w:val="001B366D"/>
    <w:rsid w:val="001E3888"/>
    <w:rsid w:val="0020554A"/>
    <w:rsid w:val="00245247"/>
    <w:rsid w:val="0027171B"/>
    <w:rsid w:val="0027568F"/>
    <w:rsid w:val="00283174"/>
    <w:rsid w:val="002B0471"/>
    <w:rsid w:val="002C6261"/>
    <w:rsid w:val="002D010A"/>
    <w:rsid w:val="002E0ED1"/>
    <w:rsid w:val="003152BD"/>
    <w:rsid w:val="00327C8E"/>
    <w:rsid w:val="003374B6"/>
    <w:rsid w:val="003627F9"/>
    <w:rsid w:val="0036443B"/>
    <w:rsid w:val="0037248C"/>
    <w:rsid w:val="00373384"/>
    <w:rsid w:val="00380D75"/>
    <w:rsid w:val="0038771D"/>
    <w:rsid w:val="003B0D21"/>
    <w:rsid w:val="003B4492"/>
    <w:rsid w:val="003E3671"/>
    <w:rsid w:val="003F3341"/>
    <w:rsid w:val="003F61D4"/>
    <w:rsid w:val="00423797"/>
    <w:rsid w:val="0043734C"/>
    <w:rsid w:val="004C6950"/>
    <w:rsid w:val="004C7315"/>
    <w:rsid w:val="004D4866"/>
    <w:rsid w:val="004F569D"/>
    <w:rsid w:val="00523155"/>
    <w:rsid w:val="00527933"/>
    <w:rsid w:val="00580C9D"/>
    <w:rsid w:val="00582D21"/>
    <w:rsid w:val="005853D4"/>
    <w:rsid w:val="005B55D8"/>
    <w:rsid w:val="005E7689"/>
    <w:rsid w:val="00603A6B"/>
    <w:rsid w:val="006053E5"/>
    <w:rsid w:val="00641A90"/>
    <w:rsid w:val="006421A6"/>
    <w:rsid w:val="00660B00"/>
    <w:rsid w:val="006E15B7"/>
    <w:rsid w:val="006E37B8"/>
    <w:rsid w:val="0074269B"/>
    <w:rsid w:val="00743118"/>
    <w:rsid w:val="0077278D"/>
    <w:rsid w:val="00773C9A"/>
    <w:rsid w:val="007863A2"/>
    <w:rsid w:val="007A56E9"/>
    <w:rsid w:val="007D2CBE"/>
    <w:rsid w:val="00821D77"/>
    <w:rsid w:val="00825029"/>
    <w:rsid w:val="0082725E"/>
    <w:rsid w:val="008524B0"/>
    <w:rsid w:val="0085271D"/>
    <w:rsid w:val="0085437A"/>
    <w:rsid w:val="00857BD0"/>
    <w:rsid w:val="00871123"/>
    <w:rsid w:val="00874603"/>
    <w:rsid w:val="008800B1"/>
    <w:rsid w:val="008C43CD"/>
    <w:rsid w:val="008D2574"/>
    <w:rsid w:val="008E3665"/>
    <w:rsid w:val="008E5C44"/>
    <w:rsid w:val="0092475A"/>
    <w:rsid w:val="00952F62"/>
    <w:rsid w:val="009827CE"/>
    <w:rsid w:val="00986254"/>
    <w:rsid w:val="009A7F0D"/>
    <w:rsid w:val="009B7F80"/>
    <w:rsid w:val="009C6F0F"/>
    <w:rsid w:val="009D19E6"/>
    <w:rsid w:val="009D3C47"/>
    <w:rsid w:val="009D6CE5"/>
    <w:rsid w:val="009E48A2"/>
    <w:rsid w:val="009E74CF"/>
    <w:rsid w:val="00A61CB5"/>
    <w:rsid w:val="00A9227B"/>
    <w:rsid w:val="00AC7CED"/>
    <w:rsid w:val="00AD1697"/>
    <w:rsid w:val="00AD3DB9"/>
    <w:rsid w:val="00AE59DE"/>
    <w:rsid w:val="00AE6B64"/>
    <w:rsid w:val="00AF1F2D"/>
    <w:rsid w:val="00B13884"/>
    <w:rsid w:val="00B76986"/>
    <w:rsid w:val="00B82448"/>
    <w:rsid w:val="00B93617"/>
    <w:rsid w:val="00BD18CB"/>
    <w:rsid w:val="00BE2634"/>
    <w:rsid w:val="00C02453"/>
    <w:rsid w:val="00C272E6"/>
    <w:rsid w:val="00C371C1"/>
    <w:rsid w:val="00C64BD3"/>
    <w:rsid w:val="00C8413F"/>
    <w:rsid w:val="00CA4CF4"/>
    <w:rsid w:val="00CB156A"/>
    <w:rsid w:val="00CC4FBF"/>
    <w:rsid w:val="00CC5C71"/>
    <w:rsid w:val="00CC60B1"/>
    <w:rsid w:val="00CC71A5"/>
    <w:rsid w:val="00CE29EB"/>
    <w:rsid w:val="00CE5F41"/>
    <w:rsid w:val="00D11A63"/>
    <w:rsid w:val="00D17936"/>
    <w:rsid w:val="00D73EC9"/>
    <w:rsid w:val="00DC33B1"/>
    <w:rsid w:val="00DE02A6"/>
    <w:rsid w:val="00DE6ADA"/>
    <w:rsid w:val="00DF0090"/>
    <w:rsid w:val="00E25F24"/>
    <w:rsid w:val="00E274FC"/>
    <w:rsid w:val="00E43069"/>
    <w:rsid w:val="00E73220"/>
    <w:rsid w:val="00E84CB7"/>
    <w:rsid w:val="00E85DE8"/>
    <w:rsid w:val="00EA5E4C"/>
    <w:rsid w:val="00EA661D"/>
    <w:rsid w:val="00EC26C9"/>
    <w:rsid w:val="00EE0E5D"/>
    <w:rsid w:val="00EE2899"/>
    <w:rsid w:val="00F301AF"/>
    <w:rsid w:val="00FA2486"/>
    <w:rsid w:val="00FB0E72"/>
    <w:rsid w:val="00FC7685"/>
    <w:rsid w:val="00FD4509"/>
    <w:rsid w:val="00FD6937"/>
    <w:rsid w:val="00FF4264"/>
    <w:rsid w:val="012711CE"/>
    <w:rsid w:val="012E4987"/>
    <w:rsid w:val="033B495E"/>
    <w:rsid w:val="039B4523"/>
    <w:rsid w:val="03DC6B15"/>
    <w:rsid w:val="0A845795"/>
    <w:rsid w:val="0AE6170C"/>
    <w:rsid w:val="0C112329"/>
    <w:rsid w:val="0D2E07C6"/>
    <w:rsid w:val="11597E34"/>
    <w:rsid w:val="139B2E7F"/>
    <w:rsid w:val="198F7E56"/>
    <w:rsid w:val="1C897B12"/>
    <w:rsid w:val="22873F46"/>
    <w:rsid w:val="241D2F4B"/>
    <w:rsid w:val="272B72BE"/>
    <w:rsid w:val="28012759"/>
    <w:rsid w:val="2E0A1864"/>
    <w:rsid w:val="30C260C1"/>
    <w:rsid w:val="333A3943"/>
    <w:rsid w:val="390A2527"/>
    <w:rsid w:val="3D47480F"/>
    <w:rsid w:val="3E8B3BC9"/>
    <w:rsid w:val="40B25BD3"/>
    <w:rsid w:val="42312D2B"/>
    <w:rsid w:val="43FD470A"/>
    <w:rsid w:val="4AD34B5F"/>
    <w:rsid w:val="4E032BC4"/>
    <w:rsid w:val="50AA5056"/>
    <w:rsid w:val="544B7A9B"/>
    <w:rsid w:val="56A70F96"/>
    <w:rsid w:val="5917412C"/>
    <w:rsid w:val="602033E8"/>
    <w:rsid w:val="64BC536D"/>
    <w:rsid w:val="676B2ACA"/>
    <w:rsid w:val="6D1075F0"/>
    <w:rsid w:val="730D4597"/>
    <w:rsid w:val="7ACE784E"/>
    <w:rsid w:val="DF7D77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qFormat="1" w:unhideWhenUsed="0" w:uiPriority="0" w:semiHidden="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qFormat/>
    <w:uiPriority w:val="0"/>
    <w:pPr>
      <w:spacing w:before="100" w:beforeAutospacing="1" w:after="100" w:afterAutospacing="1" w:line="240" w:lineRule="exact"/>
      <w:ind w:left="420"/>
    </w:pPr>
    <w:rPr>
      <w:bCs/>
      <w:szCs w:val="20"/>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List 7"/>
    <w:basedOn w:val="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
    <w:name w:val="Light List Accent 5"/>
    <w:basedOn w:val="8"/>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character" w:styleId="12">
    <w:name w:val="Hyperlink"/>
    <w:qFormat/>
    <w:uiPriority w:val="0"/>
    <w:rPr>
      <w:color w:val="0000FF"/>
      <w:u w:val="single"/>
    </w:rPr>
  </w:style>
  <w:style w:type="character" w:customStyle="1" w:styleId="13">
    <w:name w:val="页眉 字符"/>
    <w:link w:val="6"/>
    <w:qFormat/>
    <w:uiPriority w:val="0"/>
    <w:rPr>
      <w:kern w:val="2"/>
      <w:sz w:val="18"/>
      <w:szCs w:val="18"/>
    </w:rPr>
  </w:style>
  <w:style w:type="character" w:customStyle="1" w:styleId="14">
    <w:name w:val="页脚 字符"/>
    <w:link w:val="5"/>
    <w:qFormat/>
    <w:uiPriority w:val="0"/>
    <w:rPr>
      <w:kern w:val="2"/>
      <w:sz w:val="18"/>
      <w:szCs w:val="18"/>
    </w:rPr>
  </w:style>
  <w:style w:type="paragraph" w:customStyle="1" w:styleId="15">
    <w:name w:val="_Style 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6">
    <w:name w:val="批注框文本 字符"/>
    <w:link w:val="4"/>
    <w:qFormat/>
    <w:uiPriority w:val="0"/>
    <w:rPr>
      <w:kern w:val="2"/>
      <w:sz w:val="18"/>
      <w:szCs w:val="18"/>
    </w:rPr>
  </w:style>
  <w:style w:type="paragraph" w:customStyle="1" w:styleId="1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D9B80-2EC4-42EC-9931-2E922BD3248D}">
  <ds:schemaRefs/>
</ds:datastoreItem>
</file>

<file path=docProps/app.xml><?xml version="1.0" encoding="utf-8"?>
<Properties xmlns="http://schemas.openxmlformats.org/officeDocument/2006/extended-properties" xmlns:vt="http://schemas.openxmlformats.org/officeDocument/2006/docPropsVTypes">
  <Template>Normal</Template>
  <Company>cp</Company>
  <Pages>3</Pages>
  <Words>299</Words>
  <Characters>1706</Characters>
  <Lines>14</Lines>
  <Paragraphs>4</Paragraphs>
  <TotalTime>23</TotalTime>
  <ScaleCrop>false</ScaleCrop>
  <LinksUpToDate>false</LinksUpToDate>
  <CharactersWithSpaces>2001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2019-02-25T16:21:00Z</dcterms:created>
  <dc:creator>cp</dc:creator>
  <cp:lastModifiedBy>qzctwhl</cp:lastModifiedBy>
  <cp:lastPrinted>2004-04-27T14:50:00Z</cp:lastPrinted>
  <dcterms:modified xsi:type="dcterms:W3CDTF">2022-09-29T08:21:23Z</dcterms:modified>
  <dc:title>衢州学院(筹)学前教育专业   招生简章</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woTemplateTypoMode" linkTarget="0">
    <vt:lpwstr>web</vt:lpwstr>
  </property>
  <property fmtid="{D5CDD505-2E9C-101B-9397-08002B2CF9AE}" pid="4" name="woTemplate" linkTarget="0">
    <vt:i4>1</vt:i4>
  </property>
</Properties>
</file>