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杭州万向职业技术学院202</w:t>
      </w:r>
      <w:r>
        <w:rPr>
          <w:rFonts w:hint="eastAsia" w:asciiTheme="minorEastAsia" w:hAnsiTheme="minorEastAsia" w:cstheme="minorEastAsia"/>
          <w:b/>
          <w:bCs/>
          <w:sz w:val="36"/>
          <w:szCs w:val="36"/>
          <w:lang w:val="en-US" w:eastAsia="zh-CN"/>
        </w:rPr>
        <w:t>2</w:t>
      </w:r>
      <w:r>
        <w:rPr>
          <w:rFonts w:hint="eastAsia" w:asciiTheme="minorEastAsia" w:hAnsiTheme="minorEastAsia" w:cstheme="minorEastAsia"/>
          <w:b/>
          <w:bCs/>
          <w:sz w:val="36"/>
          <w:szCs w:val="36"/>
        </w:rPr>
        <w:t>年成人高等教育招生章程</w:t>
      </w:r>
    </w:p>
    <w:p>
      <w:pPr>
        <w:shd w:val="solid" w:color="FFFFFF" w:fill="auto"/>
        <w:autoSpaceDN w:val="0"/>
        <w:spacing w:line="480" w:lineRule="exact"/>
        <w:rPr>
          <w:rFonts w:asciiTheme="minorEastAsia" w:hAnsiTheme="minorEastAsia" w:cstheme="minorEastAsia"/>
          <w:b/>
          <w:bCs/>
          <w:sz w:val="28"/>
          <w:szCs w:val="28"/>
        </w:rPr>
      </w:pPr>
    </w:p>
    <w:p>
      <w:pPr>
        <w:shd w:val="solid" w:color="FFFFFF" w:fill="auto"/>
        <w:autoSpaceDN w:val="0"/>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1.高校全称：</w:t>
      </w:r>
      <w:r>
        <w:rPr>
          <w:rFonts w:hint="eastAsia" w:asciiTheme="minorEastAsia" w:hAnsiTheme="minorEastAsia" w:eastAsiaTheme="minorEastAsia" w:cstheme="minorEastAsia"/>
          <w:b w:val="0"/>
          <w:bCs w:val="0"/>
          <w:sz w:val="28"/>
          <w:szCs w:val="28"/>
        </w:rPr>
        <w:t xml:space="preserve">杭州万向职业技术学院 </w:t>
      </w:r>
    </w:p>
    <w:p>
      <w:pPr>
        <w:shd w:val="solid" w:color="FFFFFF" w:fill="auto"/>
        <w:autoSpaceDN w:val="0"/>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2.院校省代码：</w:t>
      </w:r>
      <w:bookmarkStart w:id="0" w:name="_GoBack"/>
      <w:bookmarkEnd w:id="0"/>
      <w:r>
        <w:rPr>
          <w:rFonts w:hint="eastAsia" w:asciiTheme="minorEastAsia" w:hAnsiTheme="minorEastAsia" w:eastAsiaTheme="minorEastAsia" w:cstheme="minorEastAsia"/>
          <w:b w:val="0"/>
          <w:bCs w:val="0"/>
          <w:sz w:val="28"/>
          <w:szCs w:val="28"/>
        </w:rPr>
        <w:t>416</w:t>
      </w:r>
    </w:p>
    <w:p>
      <w:pPr>
        <w:shd w:val="solid" w:color="FFFFFF" w:fill="auto"/>
        <w:autoSpaceDN w:val="0"/>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3.学校地址：</w:t>
      </w:r>
      <w:r>
        <w:rPr>
          <w:rFonts w:hint="eastAsia" w:asciiTheme="minorEastAsia" w:hAnsiTheme="minorEastAsia" w:eastAsiaTheme="minorEastAsia" w:cstheme="minorEastAsia"/>
          <w:b w:val="0"/>
          <w:bCs w:val="0"/>
          <w:sz w:val="28"/>
          <w:szCs w:val="28"/>
        </w:rPr>
        <w:t>杭州市西湖区留下镇</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花蒋路3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号</w:t>
      </w:r>
    </w:p>
    <w:p>
      <w:pPr>
        <w:shd w:val="solid" w:color="FFFFFF" w:fill="auto"/>
        <w:autoSpaceDN w:val="0"/>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4.办学性质：</w:t>
      </w:r>
      <w:r>
        <w:rPr>
          <w:rFonts w:hint="eastAsia" w:asciiTheme="minorEastAsia" w:hAnsiTheme="minorEastAsia" w:eastAsiaTheme="minorEastAsia" w:cstheme="minorEastAsia"/>
          <w:b w:val="0"/>
          <w:bCs w:val="0"/>
          <w:sz w:val="28"/>
          <w:szCs w:val="28"/>
        </w:rPr>
        <w:t>民办</w:t>
      </w:r>
    </w:p>
    <w:p>
      <w:pPr>
        <w:shd w:val="solid" w:color="FFFFFF" w:fill="auto"/>
        <w:autoSpaceDN w:val="0"/>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5.办学层次：</w:t>
      </w:r>
      <w:r>
        <w:rPr>
          <w:rFonts w:hint="eastAsia" w:asciiTheme="minorEastAsia" w:hAnsiTheme="minorEastAsia" w:eastAsiaTheme="minorEastAsia" w:cstheme="minorEastAsia"/>
          <w:b w:val="0"/>
          <w:bCs w:val="0"/>
          <w:sz w:val="28"/>
          <w:szCs w:val="28"/>
        </w:rPr>
        <w:t>高职（专科）</w:t>
      </w:r>
    </w:p>
    <w:p>
      <w:pPr>
        <w:shd w:val="solid" w:color="FFFFFF" w:fill="auto"/>
        <w:autoSpaceDN w:val="0"/>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6.招生范围：</w:t>
      </w:r>
      <w:r>
        <w:rPr>
          <w:rFonts w:hint="eastAsia" w:asciiTheme="minorEastAsia" w:hAnsiTheme="minorEastAsia" w:eastAsiaTheme="minorEastAsia" w:cstheme="minorEastAsia"/>
          <w:b w:val="0"/>
          <w:bCs w:val="0"/>
          <w:sz w:val="28"/>
          <w:szCs w:val="28"/>
        </w:rPr>
        <w:t xml:space="preserve">全省 </w:t>
      </w:r>
    </w:p>
    <w:p>
      <w:pPr>
        <w:shd w:val="solid" w:color="FFFFFF" w:fill="auto"/>
        <w:autoSpaceDN w:val="0"/>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7.学习形式、学制：</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 xml:space="preserve">  (1)学习形式：业余、函授</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 xml:space="preserve">  (2)学制：2.5年</w:t>
      </w:r>
    </w:p>
    <w:p>
      <w:pPr>
        <w:shd w:val="solid" w:color="FFFFFF" w:fill="auto"/>
        <w:autoSpaceDN w:val="0"/>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8.办学类型：</w:t>
      </w:r>
      <w:r>
        <w:rPr>
          <w:rFonts w:hint="eastAsia" w:asciiTheme="minorEastAsia" w:hAnsiTheme="minorEastAsia" w:eastAsiaTheme="minorEastAsia" w:cstheme="minorEastAsia"/>
          <w:b w:val="0"/>
          <w:bCs w:val="0"/>
          <w:sz w:val="28"/>
          <w:szCs w:val="28"/>
        </w:rPr>
        <w:t>成人高等教育</w:t>
      </w:r>
    </w:p>
    <w:p>
      <w:pPr>
        <w:shd w:val="solid" w:color="FFFFFF" w:fill="auto"/>
        <w:autoSpaceDN w:val="0"/>
        <w:spacing w:line="48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9.颁发学历证书的学校名称、证书种类及学历层次:</w:t>
      </w:r>
    </w:p>
    <w:p>
      <w:pPr>
        <w:pStyle w:val="5"/>
        <w:spacing w:before="0" w:beforeAutospacing="0" w:after="0" w:afterAutospacing="0" w:line="480" w:lineRule="exact"/>
        <w:ind w:firstLine="560" w:firstLineChars="200"/>
        <w:rPr>
          <w:rFonts w:hint="eastAsia" w:asciiTheme="minorEastAsia" w:hAnsiTheme="minorEastAsia" w:eastAsiaTheme="minorEastAsia" w:cstheme="minorEastAsia"/>
          <w:b w:val="0"/>
          <w:bCs w:val="0"/>
          <w:kern w:val="0"/>
          <w:sz w:val="28"/>
          <w:szCs w:val="28"/>
        </w:rPr>
      </w:pPr>
      <w:r>
        <w:rPr>
          <w:rFonts w:hint="eastAsia" w:asciiTheme="minorEastAsia" w:hAnsiTheme="minorEastAsia" w:eastAsiaTheme="minorEastAsia" w:cstheme="minorEastAsia"/>
          <w:b w:val="0"/>
          <w:bCs w:val="0"/>
          <w:sz w:val="28"/>
          <w:szCs w:val="28"/>
        </w:rPr>
        <w:t>杭州万向职业技术学院，成人高等教育，专科层次。</w:t>
      </w:r>
    </w:p>
    <w:p>
      <w:pPr>
        <w:widowControl/>
        <w:wordWrap w:val="0"/>
        <w:spacing w:line="480" w:lineRule="exact"/>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10.报名条件：</w:t>
      </w:r>
    </w:p>
    <w:p>
      <w:pPr>
        <w:widowControl/>
        <w:wordWrap w:val="0"/>
        <w:spacing w:line="480" w:lineRule="exact"/>
        <w:ind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考生应具有高中（含中专、职高、技校）以上的毕业文化程序或同等学力；本省户籍考生凭有效居民身份证，可在省内跨市、县报名；外省户籍考生除凭有效居民身份证外，还需凭我省固定居住证明或单位证明，在居住或工作所在地的当地招生考试机构报名。</w:t>
      </w:r>
    </w:p>
    <w:p>
      <w:pPr>
        <w:widowControl/>
        <w:wordWrap w:val="0"/>
        <w:spacing w:line="480" w:lineRule="exact"/>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11.报名程序：</w:t>
      </w:r>
    </w:p>
    <w:p>
      <w:pPr>
        <w:pStyle w:val="5"/>
        <w:spacing w:before="0" w:beforeAutospacing="0" w:after="0" w:afterAutospacing="0" w:line="480" w:lineRule="exact"/>
        <w:ind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网上报名和志愿确认。凡符合条件的考生，向所在地、市、县教育考试机构报名。报名时间：成人高考网上报名分为网上信息输入和现场信息确认两个阶段。第一阶段网上信息输入，一般为9月上旬，考生登陆当地省教育考试院网站（浙江省教育考试院网站地址http：//www.zjzs.net），按规定输入个人基本信息及志愿信息；第二阶段现场信息确认，时间为9月中、下旬，考生持本人有关证件、证明原件和复印件，到自己选定的报名确认点，办理报名资格审查、交费和信息确认手续。（注：具体成人高考网上报名、现场确认时间以省教育考试院网站公布为准。）</w:t>
      </w:r>
    </w:p>
    <w:p>
      <w:pPr>
        <w:pStyle w:val="5"/>
        <w:spacing w:before="0" w:beforeAutospacing="0" w:after="0" w:afterAutospacing="0" w:line="480" w:lineRule="exact"/>
        <w:ind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考试结束后，考生登录浙江省教育考试网“成人高校招生志愿填报系统”确认志愿信息。具体时间请留意浙江省教育考试网。</w:t>
      </w:r>
    </w:p>
    <w:p>
      <w:pPr>
        <w:widowControl/>
        <w:wordWrap w:val="0"/>
        <w:spacing w:line="480" w:lineRule="exact"/>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12.招生专业和入学考试科目：</w:t>
      </w:r>
    </w:p>
    <w:tbl>
      <w:tblPr>
        <w:tblStyle w:val="12"/>
        <w:tblW w:w="9526"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1395"/>
        <w:gridCol w:w="1025"/>
        <w:gridCol w:w="1197"/>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13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专业</w:t>
            </w:r>
          </w:p>
        </w:tc>
        <w:tc>
          <w:tcPr>
            <w:tcW w:w="139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学习形式</w:t>
            </w:r>
          </w:p>
        </w:tc>
        <w:tc>
          <w:tcPr>
            <w:tcW w:w="102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学制</w:t>
            </w:r>
          </w:p>
        </w:tc>
        <w:tc>
          <w:tcPr>
            <w:tcW w:w="1197"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科类</w:t>
            </w:r>
          </w:p>
        </w:tc>
        <w:tc>
          <w:tcPr>
            <w:tcW w:w="2774"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入学考试科目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313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大数据与会计</w:t>
            </w:r>
          </w:p>
        </w:tc>
        <w:tc>
          <w:tcPr>
            <w:tcW w:w="139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业余</w:t>
            </w:r>
          </w:p>
        </w:tc>
        <w:tc>
          <w:tcPr>
            <w:tcW w:w="102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2.5</w:t>
            </w:r>
          </w:p>
        </w:tc>
        <w:tc>
          <w:tcPr>
            <w:tcW w:w="1197"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333333"/>
                <w:sz w:val="28"/>
                <w:szCs w:val="28"/>
              </w:rPr>
              <w:t>文史类</w:t>
            </w:r>
          </w:p>
        </w:tc>
        <w:tc>
          <w:tcPr>
            <w:tcW w:w="2774" w:type="dxa"/>
            <w:vMerge w:val="restart"/>
            <w:vAlign w:val="center"/>
          </w:tcPr>
          <w:p>
            <w:pPr>
              <w:widowControl/>
              <w:wordWrap w:val="0"/>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333333"/>
                <w:sz w:val="28"/>
                <w:szCs w:val="28"/>
              </w:rPr>
              <w:t>语文、数学（文）、英语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3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工商企业管理</w:t>
            </w:r>
          </w:p>
        </w:tc>
        <w:tc>
          <w:tcPr>
            <w:tcW w:w="139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业余</w:t>
            </w:r>
          </w:p>
        </w:tc>
        <w:tc>
          <w:tcPr>
            <w:tcW w:w="102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2.5</w:t>
            </w:r>
          </w:p>
        </w:tc>
        <w:tc>
          <w:tcPr>
            <w:tcW w:w="1197"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333333"/>
                <w:sz w:val="28"/>
                <w:szCs w:val="28"/>
              </w:rPr>
              <w:t>文史类</w:t>
            </w:r>
          </w:p>
        </w:tc>
        <w:tc>
          <w:tcPr>
            <w:tcW w:w="2774" w:type="dxa"/>
            <w:vMerge w:val="continue"/>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3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酒店管理</w:t>
            </w:r>
            <w:r>
              <w:rPr>
                <w:rFonts w:hint="eastAsia" w:asciiTheme="minorEastAsia" w:hAnsiTheme="minorEastAsia" w:eastAsiaTheme="minorEastAsia" w:cstheme="minorEastAsia"/>
                <w:b w:val="0"/>
                <w:bCs w:val="0"/>
                <w:sz w:val="28"/>
                <w:szCs w:val="28"/>
                <w:lang w:val="en-US" w:eastAsia="zh-CN"/>
              </w:rPr>
              <w:t>与数字化运营</w:t>
            </w:r>
          </w:p>
        </w:tc>
        <w:tc>
          <w:tcPr>
            <w:tcW w:w="139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业余</w:t>
            </w:r>
          </w:p>
        </w:tc>
        <w:tc>
          <w:tcPr>
            <w:tcW w:w="102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2.5</w:t>
            </w:r>
          </w:p>
        </w:tc>
        <w:tc>
          <w:tcPr>
            <w:tcW w:w="1197"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333333"/>
                <w:sz w:val="28"/>
                <w:szCs w:val="28"/>
              </w:rPr>
              <w:t>文史类</w:t>
            </w:r>
          </w:p>
        </w:tc>
        <w:tc>
          <w:tcPr>
            <w:tcW w:w="2774" w:type="dxa"/>
            <w:vMerge w:val="continue"/>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3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大数据与会计</w:t>
            </w:r>
          </w:p>
        </w:tc>
        <w:tc>
          <w:tcPr>
            <w:tcW w:w="139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业余</w:t>
            </w:r>
          </w:p>
        </w:tc>
        <w:tc>
          <w:tcPr>
            <w:tcW w:w="102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2.5</w:t>
            </w:r>
          </w:p>
        </w:tc>
        <w:tc>
          <w:tcPr>
            <w:tcW w:w="1197"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理工</w:t>
            </w:r>
            <w:r>
              <w:rPr>
                <w:rFonts w:hint="eastAsia" w:asciiTheme="minorEastAsia" w:hAnsiTheme="minorEastAsia" w:eastAsiaTheme="minorEastAsia" w:cstheme="minorEastAsia"/>
                <w:b w:val="0"/>
                <w:bCs w:val="0"/>
                <w:color w:val="333333"/>
                <w:sz w:val="28"/>
                <w:szCs w:val="28"/>
              </w:rPr>
              <w:t>类</w:t>
            </w:r>
          </w:p>
        </w:tc>
        <w:tc>
          <w:tcPr>
            <w:tcW w:w="2774" w:type="dxa"/>
            <w:vMerge w:val="restart"/>
            <w:vAlign w:val="center"/>
          </w:tcPr>
          <w:p>
            <w:pPr>
              <w:widowControl/>
              <w:wordWrap w:val="0"/>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333333"/>
                <w:sz w:val="28"/>
                <w:szCs w:val="28"/>
              </w:rPr>
              <w:t>语文、数学（理）、英语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3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机电一体化技术</w:t>
            </w:r>
          </w:p>
        </w:tc>
        <w:tc>
          <w:tcPr>
            <w:tcW w:w="139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业余</w:t>
            </w:r>
          </w:p>
        </w:tc>
        <w:tc>
          <w:tcPr>
            <w:tcW w:w="102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2.5</w:t>
            </w:r>
          </w:p>
        </w:tc>
        <w:tc>
          <w:tcPr>
            <w:tcW w:w="1197"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理工类</w:t>
            </w:r>
          </w:p>
        </w:tc>
        <w:tc>
          <w:tcPr>
            <w:tcW w:w="2774" w:type="dxa"/>
            <w:vMerge w:val="continue"/>
            <w:vAlign w:val="center"/>
          </w:tcPr>
          <w:p>
            <w:pPr>
              <w:widowControl/>
              <w:wordWrap w:val="0"/>
              <w:spacing w:line="480" w:lineRule="exact"/>
              <w:jc w:val="center"/>
              <w:rPr>
                <w:rFonts w:hint="eastAsia" w:asciiTheme="minorEastAsia" w:hAnsiTheme="minorEastAsia" w:eastAsiaTheme="minorEastAsia" w:cstheme="minorEastAsia"/>
                <w:b w:val="0"/>
                <w:bCs w:val="0"/>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3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工商企业管理</w:t>
            </w:r>
          </w:p>
        </w:tc>
        <w:tc>
          <w:tcPr>
            <w:tcW w:w="139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业余</w:t>
            </w:r>
          </w:p>
        </w:tc>
        <w:tc>
          <w:tcPr>
            <w:tcW w:w="102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2.5</w:t>
            </w:r>
          </w:p>
        </w:tc>
        <w:tc>
          <w:tcPr>
            <w:tcW w:w="1197"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理工类</w:t>
            </w:r>
          </w:p>
        </w:tc>
        <w:tc>
          <w:tcPr>
            <w:tcW w:w="2774" w:type="dxa"/>
            <w:vMerge w:val="continue"/>
            <w:vAlign w:val="center"/>
          </w:tcPr>
          <w:p>
            <w:pPr>
              <w:widowControl/>
              <w:wordWrap w:val="0"/>
              <w:spacing w:line="480" w:lineRule="exact"/>
              <w:jc w:val="center"/>
              <w:rPr>
                <w:rFonts w:hint="eastAsia" w:asciiTheme="minorEastAsia" w:hAnsiTheme="minorEastAsia" w:eastAsiaTheme="minorEastAsia" w:cstheme="minorEastAsia"/>
                <w:b w:val="0"/>
                <w:bCs w:val="0"/>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3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酒店管理</w:t>
            </w:r>
            <w:r>
              <w:rPr>
                <w:rFonts w:hint="eastAsia" w:asciiTheme="minorEastAsia" w:hAnsiTheme="minorEastAsia" w:eastAsiaTheme="minorEastAsia" w:cstheme="minorEastAsia"/>
                <w:b w:val="0"/>
                <w:bCs w:val="0"/>
                <w:sz w:val="28"/>
                <w:szCs w:val="28"/>
                <w:lang w:val="en-US" w:eastAsia="zh-CN"/>
              </w:rPr>
              <w:t>与数字化运营</w:t>
            </w:r>
          </w:p>
        </w:tc>
        <w:tc>
          <w:tcPr>
            <w:tcW w:w="139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业余</w:t>
            </w:r>
          </w:p>
        </w:tc>
        <w:tc>
          <w:tcPr>
            <w:tcW w:w="1025"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2.5</w:t>
            </w:r>
          </w:p>
        </w:tc>
        <w:tc>
          <w:tcPr>
            <w:tcW w:w="1197" w:type="dxa"/>
            <w:vAlign w:val="center"/>
          </w:tcPr>
          <w:p>
            <w:pPr>
              <w:widowControl/>
              <w:wordWrap w:val="0"/>
              <w:spacing w:line="480" w:lineRule="exact"/>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理工类</w:t>
            </w:r>
          </w:p>
        </w:tc>
        <w:tc>
          <w:tcPr>
            <w:tcW w:w="2774" w:type="dxa"/>
            <w:vMerge w:val="continue"/>
            <w:vAlign w:val="center"/>
          </w:tcPr>
          <w:p>
            <w:pPr>
              <w:widowControl/>
              <w:wordWrap w:val="0"/>
              <w:spacing w:line="480" w:lineRule="exact"/>
              <w:jc w:val="center"/>
              <w:rPr>
                <w:rFonts w:hint="eastAsia" w:asciiTheme="minorEastAsia" w:hAnsiTheme="minorEastAsia" w:eastAsiaTheme="minorEastAsia" w:cstheme="minorEastAsia"/>
                <w:b w:val="0"/>
                <w:bCs w:val="0"/>
                <w:color w:val="333333"/>
                <w:sz w:val="28"/>
                <w:szCs w:val="28"/>
              </w:rPr>
            </w:pPr>
          </w:p>
        </w:tc>
      </w:tr>
    </w:tbl>
    <w:p>
      <w:pPr>
        <w:widowControl/>
        <w:shd w:val="clear" w:color="auto" w:fill="FFFFFF"/>
        <w:spacing w:line="480" w:lineRule="exact"/>
        <w:ind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注：最终招生专业以浙江省教育考试院公布为准。202</w:t>
      </w: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年成人高等学校招生全国统一考试具体时间届时请参照各省教育考试院网站。</w:t>
      </w:r>
    </w:p>
    <w:p>
      <w:pPr>
        <w:widowControl/>
        <w:wordWrap w:val="0"/>
        <w:spacing w:line="480" w:lineRule="exact"/>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13.录取规则：</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 xml:space="preserve">    (1)招生工作实行“成人高校负责，省教育考试院监督”的录取体制，招生工作由学院监察审计处负责监督。招生录取工作严格遵守教育部和省教育考试院的有关政策和规定，积极组织实施高校招生“阳光工程”，贯彻“公平竞争、公正选拔、公开透明”的原则，对符合报考条件，依照浙江省教育考试院所确定的最低录取控制分数线，按考生志愿和招生计划，分专业从高分到低分择优录取。</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 xml:space="preserve">    (2)在招生计划许可的情况下，各专业招生人数可视成人高考上分数线人数和学校办学资源而定，当考生填报的专业志愿都未被录取时，对服从专业调剂者，从高分到低分调剂到未录满专业；对不服从专业调剂者，予以退档处理。</w:t>
      </w:r>
    </w:p>
    <w:p>
      <w:pPr>
        <w:widowControl/>
        <w:wordWrap w:val="0"/>
        <w:spacing w:line="480" w:lineRule="exact"/>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（3）第一志愿生源不足的情况下，接收经调剂录取非第一志愿考生。经调剂录取后仍不足20人开班的专业将予以停办。上线考生可调剂到其它专业，对不服从调剂者，予以退档处理。</w:t>
      </w:r>
    </w:p>
    <w:p>
      <w:pPr>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14.入学注意事项：</w:t>
      </w:r>
      <w:r>
        <w:rPr>
          <w:rFonts w:hint="eastAsia" w:asciiTheme="minorEastAsia" w:hAnsiTheme="minorEastAsia" w:eastAsiaTheme="minorEastAsia" w:cstheme="minorEastAsia"/>
          <w:b w:val="0"/>
          <w:bCs w:val="0"/>
          <w:sz w:val="28"/>
          <w:szCs w:val="28"/>
          <w:lang w:val="en"/>
        </w:rPr>
        <w:t>被我校录取的新生，应在学校规定的期限内到校办理入学注册手续。因故不能按期入学者，应在报到日起7个工作日内向学校请假。未请假或请假逾期者，视为放弃入学资格。</w:t>
      </w:r>
    </w:p>
    <w:p>
      <w:pPr>
        <w:widowControl/>
        <w:shd w:val="clear" w:color="auto" w:fill="FFFFFF"/>
        <w:spacing w:line="480" w:lineRule="exact"/>
        <w:jc w:val="left"/>
        <w:rPr>
          <w:rFonts w:hint="eastAsia" w:asciiTheme="minorEastAsia" w:hAnsiTheme="minorEastAsia" w:eastAsiaTheme="minorEastAsia" w:cstheme="minorEastAsia"/>
          <w:b w:val="0"/>
          <w:bCs w:val="0"/>
          <w:sz w:val="28"/>
          <w:szCs w:val="28"/>
          <w:lang w:val="en"/>
        </w:rPr>
      </w:pPr>
      <w:r>
        <w:rPr>
          <w:rFonts w:hint="eastAsia" w:asciiTheme="minorEastAsia" w:hAnsiTheme="minorEastAsia" w:eastAsiaTheme="minorEastAsia" w:cstheme="minorEastAsia"/>
          <w:b/>
          <w:bCs/>
          <w:sz w:val="28"/>
          <w:szCs w:val="28"/>
        </w:rPr>
        <w:t>15.收费标准：</w:t>
      </w:r>
      <w:r>
        <w:rPr>
          <w:rFonts w:hint="eastAsia" w:asciiTheme="minorEastAsia" w:hAnsiTheme="minorEastAsia" w:eastAsiaTheme="minorEastAsia" w:cstheme="minorEastAsia"/>
          <w:b w:val="0"/>
          <w:bCs w:val="0"/>
          <w:sz w:val="28"/>
          <w:szCs w:val="28"/>
        </w:rPr>
        <w:t>按《浙江省物价局 浙江省财政厅 浙江省教育厅关于调整成人高等教育收费的通知》（浙价费[2014]245号）等相关规定收取。</w:t>
      </w:r>
      <w:r>
        <w:rPr>
          <w:rFonts w:hint="eastAsia" w:asciiTheme="minorEastAsia" w:hAnsiTheme="minorEastAsia" w:eastAsiaTheme="minorEastAsia" w:cstheme="minorEastAsia"/>
          <w:b w:val="0"/>
          <w:bCs w:val="0"/>
          <w:sz w:val="28"/>
          <w:szCs w:val="28"/>
          <w:lang w:val="en"/>
        </w:rPr>
        <w:t>专科最短学习年限</w:t>
      </w:r>
      <w:r>
        <w:rPr>
          <w:rFonts w:hint="eastAsia" w:asciiTheme="minorEastAsia" w:hAnsiTheme="minorEastAsia" w:eastAsiaTheme="minorEastAsia" w:cstheme="minorEastAsia"/>
          <w:b w:val="0"/>
          <w:bCs w:val="0"/>
          <w:sz w:val="28"/>
          <w:szCs w:val="28"/>
        </w:rPr>
        <w:t>2.5</w:t>
      </w:r>
      <w:r>
        <w:rPr>
          <w:rFonts w:hint="eastAsia" w:asciiTheme="minorEastAsia" w:hAnsiTheme="minorEastAsia" w:eastAsiaTheme="minorEastAsia" w:cstheme="minorEastAsia"/>
          <w:b w:val="0"/>
          <w:bCs w:val="0"/>
          <w:sz w:val="28"/>
          <w:szCs w:val="28"/>
          <w:lang w:val="en"/>
        </w:rPr>
        <w:t>年，其中工科3300元/学年，其他专业按2970元/学年。</w:t>
      </w:r>
    </w:p>
    <w:p>
      <w:pPr>
        <w:widowControl/>
        <w:wordWrap w:val="0"/>
        <w:spacing w:line="480" w:lineRule="exact"/>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16.毕业待遇：</w:t>
      </w:r>
      <w:r>
        <w:rPr>
          <w:rFonts w:hint="eastAsia" w:asciiTheme="minorEastAsia" w:hAnsiTheme="minorEastAsia" w:eastAsiaTheme="minorEastAsia" w:cstheme="minorEastAsia"/>
          <w:b w:val="0"/>
          <w:bCs w:val="0"/>
          <w:sz w:val="28"/>
          <w:szCs w:val="28"/>
        </w:rPr>
        <w:t>凡参加全国成人高考统一考试被我校录取的学生，修完我校专业教学计划规定的全部课程，成绩合格，颁发国家承认的成人高等学历教育专科毕业证书，并在中国高等教育学生信息网上电子注册。按照国家和浙江省的有关文件规定，其待遇与普通高等学校相同学历层次毕业生同等对待。</w:t>
      </w:r>
    </w:p>
    <w:p>
      <w:pPr>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17.联系地址</w:t>
      </w:r>
      <w:r>
        <w:rPr>
          <w:rFonts w:hint="eastAsia" w:asciiTheme="minorEastAsia" w:hAnsiTheme="minorEastAsia" w:eastAsiaTheme="minorEastAsia" w:cstheme="minorEastAsia"/>
          <w:b w:val="0"/>
          <w:bCs w:val="0"/>
          <w:sz w:val="28"/>
          <w:szCs w:val="28"/>
        </w:rPr>
        <w:t>：杭州市西湖区</w:t>
      </w:r>
      <w:r>
        <w:rPr>
          <w:rFonts w:hint="eastAsia" w:asciiTheme="minorEastAsia" w:hAnsiTheme="minorEastAsia" w:eastAsiaTheme="minorEastAsia" w:cstheme="minorEastAsia"/>
          <w:b w:val="0"/>
          <w:bCs w:val="0"/>
          <w:sz w:val="28"/>
          <w:szCs w:val="28"/>
          <w:lang w:val="en-US" w:eastAsia="zh-CN"/>
        </w:rPr>
        <w:t>花蒋路3号</w:t>
      </w:r>
      <w:r>
        <w:rPr>
          <w:rFonts w:hint="eastAsia" w:asciiTheme="minorEastAsia" w:hAnsiTheme="minorEastAsia" w:eastAsiaTheme="minorEastAsia" w:cstheme="minorEastAsia"/>
          <w:b w:val="0"/>
          <w:bCs w:val="0"/>
          <w:sz w:val="28"/>
          <w:szCs w:val="28"/>
        </w:rPr>
        <w:t>杭州万向职业技术学院。</w:t>
      </w:r>
    </w:p>
    <w:p>
      <w:pPr>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邮政编码：310023。</w:t>
      </w:r>
    </w:p>
    <w:p>
      <w:pPr>
        <w:tabs>
          <w:tab w:val="left" w:pos="8229"/>
        </w:tabs>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18.咨询电话：</w:t>
      </w:r>
      <w:r>
        <w:rPr>
          <w:rFonts w:hint="eastAsia" w:asciiTheme="minorEastAsia" w:hAnsiTheme="minorEastAsia" w:eastAsiaTheme="minorEastAsia" w:cstheme="minorEastAsia"/>
          <w:b w:val="0"/>
          <w:bCs w:val="0"/>
          <w:sz w:val="28"/>
          <w:szCs w:val="28"/>
        </w:rPr>
        <w:t>0571-87065831（严老师、陈老师）</w:t>
      </w:r>
      <w:r>
        <w:rPr>
          <w:rFonts w:hint="eastAsia" w:asciiTheme="minorEastAsia" w:hAnsiTheme="minorEastAsia" w:eastAsiaTheme="minorEastAsia" w:cstheme="minorEastAsia"/>
          <w:b w:val="0"/>
          <w:bCs w:val="0"/>
          <w:sz w:val="28"/>
          <w:szCs w:val="28"/>
        </w:rPr>
        <w:tab/>
      </w:r>
    </w:p>
    <w:p>
      <w:pPr>
        <w:spacing w:line="48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19.学院网址：</w:t>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"http://www.wxpoly.cn" </w:instrText>
      </w:r>
      <w:r>
        <w:rPr>
          <w:rFonts w:hint="eastAsia" w:asciiTheme="minorEastAsia" w:hAnsiTheme="minorEastAsia" w:eastAsiaTheme="minorEastAsia" w:cstheme="minorEastAsia"/>
          <w:b w:val="0"/>
          <w:bCs w:val="0"/>
          <w:sz w:val="28"/>
          <w:szCs w:val="28"/>
        </w:rPr>
        <w:fldChar w:fldCharType="separate"/>
      </w:r>
      <w:r>
        <w:rPr>
          <w:rStyle w:val="10"/>
          <w:rFonts w:hint="eastAsia" w:asciiTheme="minorEastAsia" w:hAnsiTheme="minorEastAsia" w:eastAsiaTheme="minorEastAsia" w:cstheme="minorEastAsia"/>
          <w:b w:val="0"/>
          <w:bCs w:val="0"/>
          <w:color w:val="000000"/>
          <w:kern w:val="0"/>
          <w:sz w:val="28"/>
          <w:szCs w:val="28"/>
        </w:rPr>
        <w:t>http://www.wxpoly.cn</w:t>
      </w:r>
      <w:r>
        <w:rPr>
          <w:rStyle w:val="10"/>
          <w:rFonts w:hint="eastAsia" w:asciiTheme="minorEastAsia" w:hAnsiTheme="minorEastAsia" w:eastAsiaTheme="minorEastAsia" w:cstheme="minorEastAsia"/>
          <w:b w:val="0"/>
          <w:bCs w:val="0"/>
          <w:color w:val="000000"/>
          <w:kern w:val="0"/>
          <w:sz w:val="28"/>
          <w:szCs w:val="28"/>
        </w:rPr>
        <w:fldChar w:fldCharType="end"/>
      </w:r>
    </w:p>
    <w:p>
      <w:pPr>
        <w:spacing w:line="480" w:lineRule="exact"/>
        <w:ind w:firstLine="560" w:firstLineChars="200"/>
        <w:rPr>
          <w:rFonts w:asciiTheme="minorEastAsia" w:hAnsiTheme="minorEastAsia" w:cstheme="minorEastAsia"/>
          <w:sz w:val="28"/>
          <w:szCs w:val="28"/>
        </w:rPr>
      </w:pPr>
    </w:p>
    <w:p>
      <w:pPr>
        <w:spacing w:line="480" w:lineRule="exact"/>
        <w:rPr>
          <w:rFonts w:asciiTheme="minorEastAsia" w:hAnsiTheme="minorEastAsia" w:cstheme="minorEastAsia"/>
          <w:sz w:val="28"/>
          <w:szCs w:val="28"/>
        </w:rPr>
      </w:pPr>
    </w:p>
    <w:p>
      <w:pPr>
        <w:spacing w:line="480" w:lineRule="exact"/>
        <w:rPr>
          <w:rFonts w:asciiTheme="minorEastAsia" w:hAnsiTheme="minorEastAsia" w:cstheme="minorEastAsia"/>
          <w:sz w:val="28"/>
          <w:szCs w:val="28"/>
        </w:rPr>
      </w:pPr>
    </w:p>
    <w:sectPr>
      <w:pgSz w:w="11906" w:h="16838"/>
      <w:pgMar w:top="1418" w:right="1486" w:bottom="13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05E05"/>
    <w:rsid w:val="000009C0"/>
    <w:rsid w:val="00037FD1"/>
    <w:rsid w:val="000C4B73"/>
    <w:rsid w:val="00113D93"/>
    <w:rsid w:val="00164BEC"/>
    <w:rsid w:val="00165997"/>
    <w:rsid w:val="001927CB"/>
    <w:rsid w:val="001C71B4"/>
    <w:rsid w:val="001F6C4A"/>
    <w:rsid w:val="00232A62"/>
    <w:rsid w:val="002508A2"/>
    <w:rsid w:val="00252513"/>
    <w:rsid w:val="002E2A6E"/>
    <w:rsid w:val="002F10F3"/>
    <w:rsid w:val="00300999"/>
    <w:rsid w:val="00324A05"/>
    <w:rsid w:val="00374EAF"/>
    <w:rsid w:val="00381B59"/>
    <w:rsid w:val="003F7FDA"/>
    <w:rsid w:val="0044107E"/>
    <w:rsid w:val="00466DB6"/>
    <w:rsid w:val="00466F95"/>
    <w:rsid w:val="004A4D9D"/>
    <w:rsid w:val="00501669"/>
    <w:rsid w:val="005952E1"/>
    <w:rsid w:val="00787F92"/>
    <w:rsid w:val="007A5907"/>
    <w:rsid w:val="00883290"/>
    <w:rsid w:val="00886970"/>
    <w:rsid w:val="00894EF7"/>
    <w:rsid w:val="008B18C6"/>
    <w:rsid w:val="008D268C"/>
    <w:rsid w:val="0092472F"/>
    <w:rsid w:val="00960BF0"/>
    <w:rsid w:val="00962B15"/>
    <w:rsid w:val="00964405"/>
    <w:rsid w:val="00967D2C"/>
    <w:rsid w:val="00974FFA"/>
    <w:rsid w:val="00992186"/>
    <w:rsid w:val="009C4089"/>
    <w:rsid w:val="009F757F"/>
    <w:rsid w:val="00A918B9"/>
    <w:rsid w:val="00B14D40"/>
    <w:rsid w:val="00B22D39"/>
    <w:rsid w:val="00B34DE0"/>
    <w:rsid w:val="00B429E6"/>
    <w:rsid w:val="00B86535"/>
    <w:rsid w:val="00B95420"/>
    <w:rsid w:val="00BC3BEA"/>
    <w:rsid w:val="00BE3F4A"/>
    <w:rsid w:val="00C41F5A"/>
    <w:rsid w:val="00C77F23"/>
    <w:rsid w:val="00CE576B"/>
    <w:rsid w:val="00CF5EFA"/>
    <w:rsid w:val="00D76C06"/>
    <w:rsid w:val="00D944AD"/>
    <w:rsid w:val="00DB6CEB"/>
    <w:rsid w:val="00DC2B8F"/>
    <w:rsid w:val="00DD0C44"/>
    <w:rsid w:val="00E33B31"/>
    <w:rsid w:val="00E84A61"/>
    <w:rsid w:val="00E950E7"/>
    <w:rsid w:val="00EA0EB4"/>
    <w:rsid w:val="00EA63C4"/>
    <w:rsid w:val="00F1642F"/>
    <w:rsid w:val="00F220B5"/>
    <w:rsid w:val="00F72FD9"/>
    <w:rsid w:val="00FA60D8"/>
    <w:rsid w:val="0234554A"/>
    <w:rsid w:val="02DE5D0C"/>
    <w:rsid w:val="04D86FBD"/>
    <w:rsid w:val="08797D1A"/>
    <w:rsid w:val="0BBC7BB7"/>
    <w:rsid w:val="0BD44E7B"/>
    <w:rsid w:val="0C3F327E"/>
    <w:rsid w:val="0EA70F68"/>
    <w:rsid w:val="0F88311B"/>
    <w:rsid w:val="12783E34"/>
    <w:rsid w:val="12B32409"/>
    <w:rsid w:val="12F936FC"/>
    <w:rsid w:val="14D5771A"/>
    <w:rsid w:val="17DF6BFF"/>
    <w:rsid w:val="199F5C5B"/>
    <w:rsid w:val="1F1021BE"/>
    <w:rsid w:val="1F6E3082"/>
    <w:rsid w:val="207B24CA"/>
    <w:rsid w:val="20DB4CC1"/>
    <w:rsid w:val="20DE4EA2"/>
    <w:rsid w:val="238774A0"/>
    <w:rsid w:val="24F6094E"/>
    <w:rsid w:val="2C977847"/>
    <w:rsid w:val="2CCD0D3B"/>
    <w:rsid w:val="2E132B1F"/>
    <w:rsid w:val="2E8846D0"/>
    <w:rsid w:val="30A74A32"/>
    <w:rsid w:val="32533714"/>
    <w:rsid w:val="33B457C9"/>
    <w:rsid w:val="33C32D3E"/>
    <w:rsid w:val="33CA12CD"/>
    <w:rsid w:val="33F30DCA"/>
    <w:rsid w:val="341958C1"/>
    <w:rsid w:val="39331F5E"/>
    <w:rsid w:val="3C4601BF"/>
    <w:rsid w:val="3C771402"/>
    <w:rsid w:val="3EB532E4"/>
    <w:rsid w:val="3FC073EB"/>
    <w:rsid w:val="42FB4883"/>
    <w:rsid w:val="434817D0"/>
    <w:rsid w:val="43882E41"/>
    <w:rsid w:val="43BE43F8"/>
    <w:rsid w:val="43DD03C5"/>
    <w:rsid w:val="4701241C"/>
    <w:rsid w:val="48590F10"/>
    <w:rsid w:val="4875140C"/>
    <w:rsid w:val="4D413269"/>
    <w:rsid w:val="4E377761"/>
    <w:rsid w:val="52E44984"/>
    <w:rsid w:val="561165EC"/>
    <w:rsid w:val="5A174C22"/>
    <w:rsid w:val="5B56274B"/>
    <w:rsid w:val="60F67682"/>
    <w:rsid w:val="64524588"/>
    <w:rsid w:val="686B47F9"/>
    <w:rsid w:val="6960234A"/>
    <w:rsid w:val="698F12C6"/>
    <w:rsid w:val="6BBE1F5D"/>
    <w:rsid w:val="71563364"/>
    <w:rsid w:val="71B202DA"/>
    <w:rsid w:val="73505E05"/>
    <w:rsid w:val="73813853"/>
    <w:rsid w:val="79803BBE"/>
    <w:rsid w:val="79A8246B"/>
    <w:rsid w:val="79ED46CE"/>
    <w:rsid w:val="7A0B6E08"/>
    <w:rsid w:val="7BB579BD"/>
    <w:rsid w:val="7C2E6E38"/>
    <w:rsid w:val="7FCF5070"/>
    <w:rsid w:val="7FF8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pPr>
    <w:rPr>
      <w:rFonts w:ascii="宋体" w:hAnsi="宋体" w:cs="宋体"/>
      <w:sz w:val="24"/>
    </w:rPr>
  </w:style>
  <w:style w:type="character" w:styleId="7">
    <w:name w:val="Strong"/>
    <w:basedOn w:val="6"/>
    <w:qFormat/>
    <w:uiPriority w:val="22"/>
    <w:rPr>
      <w:b/>
      <w:bCs/>
    </w:rPr>
  </w:style>
  <w:style w:type="character" w:styleId="8">
    <w:name w:val="FollowedHyperlink"/>
    <w:basedOn w:val="6"/>
    <w:qFormat/>
    <w:uiPriority w:val="0"/>
    <w:rPr>
      <w:color w:val="800080"/>
      <w:sz w:val="24"/>
      <w:szCs w:val="24"/>
      <w:u w:val="none"/>
      <w:vertAlign w:val="baseline"/>
    </w:rPr>
  </w:style>
  <w:style w:type="character" w:styleId="9">
    <w:name w:val="Emphasis"/>
    <w:basedOn w:val="6"/>
    <w:qFormat/>
    <w:uiPriority w:val="0"/>
  </w:style>
  <w:style w:type="character" w:styleId="10">
    <w:name w:val="Hyperlink"/>
    <w:basedOn w:val="6"/>
    <w:qFormat/>
    <w:uiPriority w:val="0"/>
    <w:rPr>
      <w:color w:val="0000FF"/>
      <w:sz w:val="24"/>
      <w:szCs w:val="24"/>
      <w:u w:val="none"/>
      <w:vertAlign w:val="baseli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3">
    <w:name w:val="List Paragraph"/>
    <w:basedOn w:val="1"/>
    <w:unhideWhenUsed/>
    <w:qFormat/>
    <w:uiPriority w:val="99"/>
    <w:pPr>
      <w:ind w:firstLine="420" w:firstLineChars="200"/>
    </w:pPr>
  </w:style>
  <w:style w:type="character" w:customStyle="1" w:styleId="14">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15">
    <w:name w:val="页眉 Char"/>
    <w:basedOn w:val="6"/>
    <w:link w:val="4"/>
    <w:qFormat/>
    <w:uiPriority w:val="0"/>
    <w:rPr>
      <w:rFonts w:asciiTheme="minorHAnsi" w:hAnsiTheme="minorHAnsi" w:eastAsiaTheme="minorEastAsia" w:cstheme="minorBidi"/>
      <w:kern w:val="2"/>
      <w:sz w:val="18"/>
      <w:szCs w:val="18"/>
    </w:rPr>
  </w:style>
  <w:style w:type="character" w:customStyle="1" w:styleId="16">
    <w:name w:val="页脚 Char"/>
    <w:basedOn w:val="6"/>
    <w:link w:val="3"/>
    <w:qFormat/>
    <w:uiPriority w:val="0"/>
    <w:rPr>
      <w:rFonts w:asciiTheme="minorHAnsi" w:hAnsiTheme="minorHAnsi" w:eastAsiaTheme="minorEastAsia" w:cstheme="minorBidi"/>
      <w:kern w:val="2"/>
      <w:sz w:val="18"/>
      <w:szCs w:val="18"/>
    </w:rPr>
  </w:style>
  <w:style w:type="character" w:customStyle="1" w:styleId="17">
    <w:name w:val="first-child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升水</Company>
  <Pages>3</Pages>
  <Words>267</Words>
  <Characters>1525</Characters>
  <Lines>12</Lines>
  <Paragraphs>3</Paragraphs>
  <TotalTime>14</TotalTime>
  <ScaleCrop>false</ScaleCrop>
  <LinksUpToDate>false</LinksUpToDate>
  <CharactersWithSpaces>1789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2016-08-03T09:36:00Z</dcterms:created>
  <dc:creator>weiping</dc:creator>
  <cp:lastModifiedBy>lenovo</cp:lastModifiedBy>
  <cp:lastPrinted>2020-07-06T01:00:00Z</cp:lastPrinted>
  <dcterms:modified xsi:type="dcterms:W3CDTF">2022-04-28T02:10:21Z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