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Fonts w:hint="eastAsia" w:ascii="方正小标宋简体" w:hAnsi="方正小标宋简体" w:eastAsia="方正小标宋简体" w:cs="方正小标宋简体"/>
          <w:sz w:val="32"/>
          <w:szCs w:val="32"/>
          <w:lang w:val="en-US" w:eastAsia="zh-Hans"/>
        </w:rPr>
      </w:pPr>
      <w:bookmarkStart w:id="0" w:name="_GoBack"/>
      <w:bookmarkEnd w:id="0"/>
      <w:r>
        <w:rPr>
          <w:rFonts w:hint="eastAsia" w:ascii="方正小标宋简体" w:hAnsi="方正小标宋简体" w:eastAsia="方正小标宋简体" w:cs="方正小标宋简体"/>
          <w:sz w:val="32"/>
          <w:szCs w:val="32"/>
          <w:lang w:val="en-US" w:eastAsia="zh-Hans"/>
        </w:rPr>
        <w:t>杭州科技职业技术学院2021年成人高等教育招生章程</w:t>
      </w:r>
    </w:p>
    <w:p>
      <w:pPr>
        <w:pStyle w:val="4"/>
        <w:shd w:val="clear" w:color="auto" w:fill="FFFFFF"/>
        <w:adjustRightInd w:val="0"/>
        <w:snapToGrid w:val="0"/>
        <w:spacing w:before="0" w:beforeAutospacing="0" w:after="0" w:afterAutospacing="0" w:line="360" w:lineRule="auto"/>
        <w:jc w:val="center"/>
        <w:rPr>
          <w:rStyle w:val="7"/>
          <w:rFonts w:hint="eastAsia" w:ascii="宋体" w:hAnsi="宋体"/>
          <w:sz w:val="32"/>
          <w:szCs w:val="23"/>
        </w:rPr>
      </w:pP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s="仿宋"/>
          <w:color w:val="444444"/>
          <w:sz w:val="28"/>
          <w:szCs w:val="19"/>
          <w:lang w:val="en-US" w:eastAsia="zh-Hans"/>
        </w:rPr>
      </w:pPr>
      <w:r>
        <w:rPr>
          <w:rFonts w:hint="eastAsia" w:ascii="仿宋" w:hAnsi="仿宋" w:eastAsia="仿宋" w:cs="仿宋"/>
          <w:color w:val="444444"/>
          <w:sz w:val="28"/>
          <w:szCs w:val="19"/>
          <w:lang w:val="en-US" w:eastAsia="zh-Hans"/>
        </w:rPr>
        <w:t>杭州科技职业技术学院于1999年12月经浙江省人民政府批准,依托杭州成人科技大学开始筹建。2006年12月，杭州市人民政府决定由杭州广播电视大学、杭州成人科技大学共同筹建杭州科技职业技术学院。2009年2月经浙江省人民政府批准正式建立。学校与杭州广播电视大学实行“两块牌子，一套班子”的管理体制。</w:t>
      </w: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r>
        <w:rPr>
          <w:rStyle w:val="7"/>
          <w:rFonts w:hint="eastAsia" w:ascii="黑体" w:hAnsi="黑体" w:eastAsia="黑体" w:cs="黑体"/>
          <w:b w:val="0"/>
          <w:bCs w:val="0"/>
          <w:sz w:val="32"/>
          <w:szCs w:val="23"/>
        </w:rPr>
        <w:t>第一章  总则</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s="仿宋"/>
          <w:color w:val="444444"/>
          <w:sz w:val="28"/>
          <w:szCs w:val="19"/>
        </w:rPr>
      </w:pPr>
      <w:r>
        <w:rPr>
          <w:rFonts w:hint="eastAsia" w:ascii="黑体" w:hAnsi="黑体" w:eastAsia="黑体" w:cs="黑体"/>
          <w:color w:val="444444"/>
          <w:sz w:val="28"/>
          <w:szCs w:val="19"/>
        </w:rPr>
        <w:t>第一条</w:t>
      </w:r>
      <w:r>
        <w:rPr>
          <w:rFonts w:hint="eastAsia" w:ascii="仿宋" w:hAnsi="仿宋" w:eastAsia="仿宋" w:cs="仿宋"/>
          <w:color w:val="444444"/>
          <w:sz w:val="28"/>
          <w:szCs w:val="19"/>
        </w:rPr>
        <w:t> </w:t>
      </w:r>
      <w:r>
        <w:rPr>
          <w:rFonts w:hint="eastAsia" w:ascii="仿宋" w:hAnsi="仿宋" w:eastAsia="仿宋" w:cs="仿宋"/>
          <w:color w:val="444444"/>
          <w:sz w:val="28"/>
          <w:szCs w:val="19"/>
          <w:lang w:val="en-US" w:eastAsia="zh-Hans"/>
        </w:rPr>
        <w:t>为进一步做好</w:t>
      </w:r>
      <w:r>
        <w:rPr>
          <w:rFonts w:hint="eastAsia" w:ascii="仿宋" w:hAnsi="仿宋" w:eastAsia="仿宋" w:cs="仿宋"/>
          <w:color w:val="444444"/>
          <w:sz w:val="28"/>
          <w:szCs w:val="19"/>
          <w:lang w:eastAsia="zh-Hans"/>
        </w:rPr>
        <w:t>2021</w:t>
      </w:r>
      <w:r>
        <w:rPr>
          <w:rFonts w:hint="eastAsia" w:ascii="仿宋" w:hAnsi="仿宋" w:eastAsia="仿宋" w:cs="仿宋"/>
          <w:color w:val="444444"/>
          <w:sz w:val="28"/>
          <w:szCs w:val="19"/>
          <w:lang w:val="en-US" w:eastAsia="zh-Hans"/>
        </w:rPr>
        <w:t>年成人高等教育招生工作，</w:t>
      </w:r>
      <w:r>
        <w:rPr>
          <w:rFonts w:hint="eastAsia" w:ascii="仿宋" w:hAnsi="仿宋" w:eastAsia="仿宋" w:cs="仿宋"/>
          <w:color w:val="444444"/>
          <w:sz w:val="28"/>
          <w:szCs w:val="19"/>
        </w:rPr>
        <w:t>根据教育部、浙江省教育厅与浙江省教育考试院有关政策和规定，结合我校实际，制定本章程。</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s="仿宋"/>
          <w:color w:val="444444"/>
          <w:sz w:val="28"/>
          <w:szCs w:val="19"/>
          <w:lang w:val="en-US" w:eastAsia="zh-Hans"/>
        </w:rPr>
      </w:pPr>
      <w:r>
        <w:rPr>
          <w:rFonts w:hint="eastAsia" w:ascii="黑体" w:hAnsi="黑体" w:eastAsia="黑体" w:cs="黑体"/>
          <w:color w:val="444444"/>
          <w:sz w:val="28"/>
          <w:szCs w:val="19"/>
        </w:rPr>
        <w:t>第二条</w:t>
      </w:r>
      <w:r>
        <w:rPr>
          <w:rFonts w:hint="eastAsia" w:ascii="仿宋" w:hAnsi="仿宋" w:eastAsia="仿宋" w:cs="仿宋"/>
          <w:color w:val="444444"/>
          <w:sz w:val="28"/>
          <w:szCs w:val="19"/>
        </w:rPr>
        <w:t> </w:t>
      </w:r>
      <w:r>
        <w:rPr>
          <w:rFonts w:hint="eastAsia" w:ascii="仿宋" w:hAnsi="仿宋" w:eastAsia="仿宋" w:cs="仿宋"/>
          <w:color w:val="444444"/>
          <w:sz w:val="28"/>
          <w:szCs w:val="19"/>
          <w:lang w:val="en-US" w:eastAsia="zh-Hans"/>
        </w:rPr>
        <w:t>学校中文名称为杭州科技职业技术学院，中文简称为“杭科院”；英文译名为Hangzhou Polytechnic。</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s="仿宋"/>
          <w:color w:val="444444"/>
          <w:sz w:val="28"/>
          <w:szCs w:val="19"/>
          <w:lang w:val="en-US" w:eastAsia="zh-Hans"/>
        </w:rPr>
      </w:pPr>
      <w:r>
        <w:rPr>
          <w:rFonts w:hint="eastAsia" w:ascii="仿宋" w:hAnsi="仿宋" w:eastAsia="仿宋" w:cs="仿宋"/>
          <w:color w:val="444444"/>
          <w:sz w:val="28"/>
          <w:szCs w:val="19"/>
          <w:lang w:val="en-US" w:eastAsia="zh-Hans"/>
        </w:rPr>
        <w:t>学校设有杭州城区（翠苑、延安路）、富阳高桥、建德严州等三个校区。法定注册地为浙江省杭州市西湖区文一西路37号。</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仿宋" w:hAnsi="仿宋" w:eastAsia="仿宋"/>
          <w:color w:val="444444"/>
          <w:sz w:val="28"/>
          <w:szCs w:val="19"/>
          <w:lang w:val="en-US" w:eastAsia="zh-Hans"/>
        </w:rPr>
        <w:t>学校全国院校代码：13026；省院校代码：403。</w:t>
      </w:r>
    </w:p>
    <w:p>
      <w:pPr>
        <w:pStyle w:val="4"/>
        <w:shd w:val="clear" w:color="auto" w:fill="FFFFFF"/>
        <w:adjustRightInd w:val="0"/>
        <w:snapToGrid w:val="0"/>
        <w:spacing w:before="0" w:beforeAutospacing="0" w:after="0" w:afterAutospacing="0" w:line="360" w:lineRule="auto"/>
        <w:ind w:firstLine="560" w:firstLineChars="200"/>
        <w:rPr>
          <w:rFonts w:ascii="仿宋" w:hAnsi="仿宋" w:eastAsia="仿宋"/>
          <w:color w:val="444444"/>
          <w:sz w:val="28"/>
          <w:szCs w:val="19"/>
        </w:rPr>
      </w:pPr>
      <w:r>
        <w:rPr>
          <w:rFonts w:hint="eastAsia" w:ascii="黑体" w:hAnsi="黑体" w:eastAsia="黑体" w:cs="黑体"/>
          <w:color w:val="444444"/>
          <w:sz w:val="28"/>
          <w:szCs w:val="19"/>
          <w:lang w:val="en-US" w:eastAsia="zh-Hans"/>
        </w:rPr>
        <w:t>第三条</w:t>
      </w:r>
      <w:r>
        <w:rPr>
          <w:rFonts w:hint="default" w:ascii="仿宋" w:hAnsi="仿宋" w:eastAsia="仿宋"/>
          <w:color w:val="444444"/>
          <w:sz w:val="28"/>
          <w:szCs w:val="19"/>
          <w:lang w:eastAsia="zh-Hans"/>
        </w:rPr>
        <w:t xml:space="preserve"> </w:t>
      </w:r>
      <w:r>
        <w:rPr>
          <w:rFonts w:hint="eastAsia" w:eastAsia="仿宋"/>
          <w:color w:val="444444"/>
          <w:sz w:val="28"/>
          <w:szCs w:val="19"/>
          <w:lang w:val="en-US" w:eastAsia="zh-Hans"/>
        </w:rPr>
        <w:t>学校举办大学专科层次的</w:t>
      </w:r>
      <w:r>
        <w:rPr>
          <w:rFonts w:hint="eastAsia" w:ascii="仿宋" w:hAnsi="仿宋" w:eastAsia="仿宋"/>
          <w:color w:val="444444"/>
          <w:sz w:val="28"/>
          <w:szCs w:val="19"/>
        </w:rPr>
        <w:t>成人高等学历教育</w:t>
      </w:r>
      <w:r>
        <w:rPr>
          <w:rFonts w:hint="eastAsia" w:ascii="仿宋" w:hAnsi="仿宋" w:eastAsia="仿宋"/>
          <w:color w:val="444444"/>
          <w:sz w:val="28"/>
          <w:szCs w:val="19"/>
          <w:lang w:eastAsia="zh-Hans"/>
        </w:rPr>
        <w:t>。</w:t>
      </w:r>
      <w:r>
        <w:rPr>
          <w:rFonts w:hint="eastAsia" w:ascii="仿宋" w:hAnsi="仿宋" w:eastAsia="仿宋"/>
          <w:color w:val="444444"/>
          <w:sz w:val="28"/>
          <w:szCs w:val="19"/>
        </w:rPr>
        <w:t>学校坚持“以服务为宗旨，以就业为导向”的办学方针，积极改革人才培养模式，走校企合作、产学研结合的发展道路，不断提高教学质量和办学水平，增强社会服务功能，为地方社会经济发展培养德才兼备的高素质技能型人才。</w:t>
      </w:r>
    </w:p>
    <w:p>
      <w:pPr>
        <w:pStyle w:val="4"/>
        <w:shd w:val="clear" w:color="auto" w:fill="FFFFFF"/>
        <w:adjustRightInd w:val="0"/>
        <w:snapToGrid w:val="0"/>
        <w:spacing w:before="0" w:beforeAutospacing="0" w:after="0" w:afterAutospacing="0" w:line="360" w:lineRule="auto"/>
        <w:jc w:val="both"/>
        <w:rPr>
          <w:rStyle w:val="7"/>
          <w:rFonts w:hint="eastAsia" w:ascii="黑体" w:hAnsi="黑体" w:eastAsia="黑体" w:cs="黑体"/>
          <w:b w:val="0"/>
          <w:bCs w:val="0"/>
          <w:sz w:val="32"/>
          <w:szCs w:val="23"/>
        </w:rPr>
      </w:pP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r>
        <w:rPr>
          <w:rStyle w:val="7"/>
          <w:rFonts w:hint="eastAsia" w:ascii="黑体" w:hAnsi="黑体" w:eastAsia="黑体" w:cs="黑体"/>
          <w:b w:val="0"/>
          <w:bCs w:val="0"/>
          <w:sz w:val="32"/>
          <w:szCs w:val="23"/>
        </w:rPr>
        <w:t xml:space="preserve">第二章  </w:t>
      </w:r>
      <w:r>
        <w:rPr>
          <w:rStyle w:val="7"/>
          <w:rFonts w:hint="eastAsia" w:ascii="黑体" w:hAnsi="黑体" w:eastAsia="黑体" w:cs="黑体"/>
          <w:b w:val="0"/>
          <w:bCs w:val="0"/>
          <w:sz w:val="32"/>
          <w:szCs w:val="23"/>
          <w:lang w:val="en-US" w:eastAsia="zh-Hans"/>
        </w:rPr>
        <w:t>招生对象、</w:t>
      </w:r>
      <w:r>
        <w:rPr>
          <w:rStyle w:val="7"/>
          <w:rFonts w:hint="eastAsia" w:ascii="黑体" w:hAnsi="黑体" w:eastAsia="黑体" w:cs="黑体"/>
          <w:b w:val="0"/>
          <w:bCs w:val="0"/>
          <w:sz w:val="32"/>
          <w:szCs w:val="23"/>
        </w:rPr>
        <w:t>招生专业与学习形式</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lang w:val="en-US" w:eastAsia="zh-Hans"/>
        </w:rPr>
      </w:pPr>
      <w:r>
        <w:rPr>
          <w:rFonts w:hint="eastAsia" w:ascii="黑体" w:hAnsi="黑体" w:eastAsia="黑体" w:cs="黑体"/>
          <w:color w:val="444444"/>
          <w:sz w:val="28"/>
          <w:szCs w:val="19"/>
          <w:lang w:val="en-US" w:eastAsia="zh-Hans"/>
        </w:rPr>
        <w:t>第四条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lang w:val="en-US" w:eastAsia="zh-Hans"/>
        </w:rPr>
        <w:t>符合下列条件的中国公民课报考我校：</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lang w:val="en-US" w:eastAsia="zh-Hans"/>
        </w:rPr>
      </w:pPr>
      <w:r>
        <w:rPr>
          <w:rFonts w:hint="eastAsia" w:ascii="仿宋" w:hAnsi="仿宋" w:eastAsia="仿宋"/>
          <w:color w:val="444444"/>
          <w:sz w:val="28"/>
          <w:szCs w:val="19"/>
          <w:lang w:val="en-US" w:eastAsia="zh-Hans"/>
        </w:rPr>
        <w:t>（</w:t>
      </w:r>
      <w:r>
        <w:rPr>
          <w:rFonts w:hint="default" w:ascii="仿宋" w:hAnsi="仿宋" w:eastAsia="仿宋"/>
          <w:color w:val="444444"/>
          <w:sz w:val="28"/>
          <w:szCs w:val="19"/>
          <w:lang w:eastAsia="zh-Hans"/>
        </w:rPr>
        <w:t>1</w:t>
      </w:r>
      <w:r>
        <w:rPr>
          <w:rFonts w:hint="eastAsia" w:ascii="仿宋" w:hAnsi="仿宋" w:eastAsia="仿宋"/>
          <w:color w:val="444444"/>
          <w:sz w:val="28"/>
          <w:szCs w:val="19"/>
          <w:lang w:eastAsia="zh-Hans"/>
        </w:rPr>
        <w:t>）</w:t>
      </w:r>
      <w:r>
        <w:rPr>
          <w:rFonts w:hint="eastAsia" w:ascii="仿宋" w:hAnsi="仿宋" w:eastAsia="仿宋"/>
          <w:color w:val="444444"/>
          <w:sz w:val="28"/>
          <w:szCs w:val="19"/>
          <w:lang w:val="en-US" w:eastAsia="zh-Hans"/>
        </w:rPr>
        <w:t>遵守中华人民共和国先发和法律。</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lang w:val="en-US" w:eastAsia="zh-Hans"/>
        </w:rPr>
      </w:pPr>
      <w:r>
        <w:rPr>
          <w:rFonts w:hint="eastAsia" w:ascii="仿宋" w:hAnsi="仿宋" w:eastAsia="仿宋"/>
          <w:color w:val="444444"/>
          <w:sz w:val="28"/>
          <w:szCs w:val="19"/>
          <w:lang w:val="en-US" w:eastAsia="zh-Hans"/>
        </w:rPr>
        <w:t>（</w:t>
      </w:r>
      <w:r>
        <w:rPr>
          <w:rFonts w:hint="default" w:ascii="仿宋" w:hAnsi="仿宋" w:eastAsia="仿宋"/>
          <w:color w:val="444444"/>
          <w:sz w:val="28"/>
          <w:szCs w:val="19"/>
          <w:lang w:eastAsia="zh-Hans"/>
        </w:rPr>
        <w:t>2</w:t>
      </w:r>
      <w:r>
        <w:rPr>
          <w:rFonts w:hint="eastAsia" w:ascii="仿宋" w:hAnsi="仿宋" w:eastAsia="仿宋"/>
          <w:color w:val="444444"/>
          <w:sz w:val="28"/>
          <w:szCs w:val="19"/>
          <w:lang w:eastAsia="zh-Hans"/>
        </w:rPr>
        <w:t>）</w:t>
      </w:r>
      <w:r>
        <w:rPr>
          <w:rFonts w:hint="eastAsia" w:ascii="仿宋" w:hAnsi="仿宋" w:eastAsia="仿宋"/>
          <w:color w:val="444444"/>
          <w:sz w:val="28"/>
          <w:szCs w:val="19"/>
          <w:lang w:val="en-US" w:eastAsia="zh-Hans"/>
        </w:rPr>
        <w:t>国家承认学历的各类高、中等学校在校生以外的从业人员和社会其他人员。</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lang w:val="en-US" w:eastAsia="zh-Hans"/>
        </w:rPr>
      </w:pPr>
      <w:r>
        <w:rPr>
          <w:rFonts w:hint="eastAsia" w:ascii="仿宋" w:hAnsi="仿宋" w:eastAsia="仿宋"/>
          <w:color w:val="444444"/>
          <w:sz w:val="28"/>
          <w:szCs w:val="19"/>
          <w:lang w:val="en-US" w:eastAsia="zh-Hans"/>
        </w:rPr>
        <w:t>（</w:t>
      </w:r>
      <w:r>
        <w:rPr>
          <w:rFonts w:hint="default" w:ascii="仿宋" w:hAnsi="仿宋" w:eastAsia="仿宋"/>
          <w:color w:val="444444"/>
          <w:sz w:val="28"/>
          <w:szCs w:val="19"/>
          <w:lang w:eastAsia="zh-Hans"/>
        </w:rPr>
        <w:t>3</w:t>
      </w:r>
      <w:r>
        <w:rPr>
          <w:rFonts w:hint="eastAsia" w:ascii="仿宋" w:hAnsi="仿宋" w:eastAsia="仿宋"/>
          <w:color w:val="444444"/>
          <w:sz w:val="28"/>
          <w:szCs w:val="19"/>
          <w:lang w:eastAsia="zh-Hans"/>
        </w:rPr>
        <w:t>）</w:t>
      </w:r>
      <w:r>
        <w:rPr>
          <w:rFonts w:hint="eastAsia" w:ascii="仿宋" w:hAnsi="仿宋" w:eastAsia="仿宋"/>
          <w:color w:val="444444"/>
          <w:sz w:val="28"/>
          <w:szCs w:val="19"/>
          <w:lang w:val="en-US" w:eastAsia="zh-Hans"/>
        </w:rPr>
        <w:t>身体健康，生活能自理，不影响所报专业学习。</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lang w:val="en-US" w:eastAsia="zh-Hans"/>
        </w:rPr>
      </w:pPr>
      <w:r>
        <w:rPr>
          <w:rFonts w:hint="eastAsia" w:ascii="仿宋" w:hAnsi="仿宋" w:eastAsia="仿宋"/>
          <w:color w:val="444444"/>
          <w:sz w:val="28"/>
          <w:szCs w:val="19"/>
          <w:lang w:val="en-US" w:eastAsia="zh-Hans"/>
        </w:rPr>
        <w:t>（</w:t>
      </w:r>
      <w:r>
        <w:rPr>
          <w:rFonts w:hint="default" w:ascii="仿宋" w:hAnsi="仿宋" w:eastAsia="仿宋"/>
          <w:color w:val="444444"/>
          <w:sz w:val="28"/>
          <w:szCs w:val="19"/>
          <w:lang w:eastAsia="zh-Hans"/>
        </w:rPr>
        <w:t>4</w:t>
      </w:r>
      <w:r>
        <w:rPr>
          <w:rFonts w:hint="eastAsia" w:ascii="仿宋" w:hAnsi="仿宋" w:eastAsia="仿宋"/>
          <w:color w:val="444444"/>
          <w:sz w:val="28"/>
          <w:szCs w:val="19"/>
          <w:lang w:eastAsia="zh-Hans"/>
        </w:rPr>
        <w:t>）</w:t>
      </w:r>
      <w:r>
        <w:rPr>
          <w:rFonts w:hint="eastAsia" w:ascii="仿宋" w:hAnsi="仿宋" w:eastAsia="仿宋"/>
          <w:color w:val="444444"/>
          <w:sz w:val="28"/>
          <w:szCs w:val="19"/>
          <w:lang w:val="en-US" w:eastAsia="zh-Hans"/>
        </w:rPr>
        <w:t>高级中等教育学校毕业或者具有同等学力。</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lang w:val="en-US" w:eastAsia="zh-Hans"/>
        </w:rPr>
      </w:pPr>
      <w:r>
        <w:rPr>
          <w:rFonts w:hint="eastAsia" w:ascii="黑体" w:hAnsi="黑体" w:eastAsia="黑体" w:cs="黑体"/>
          <w:color w:val="444444"/>
          <w:sz w:val="28"/>
          <w:szCs w:val="19"/>
          <w:lang w:val="en-US" w:eastAsia="zh-Hans"/>
        </w:rPr>
        <w:t>第五条</w:t>
      </w:r>
      <w:r>
        <w:rPr>
          <w:rFonts w:hint="default" w:ascii="仿宋" w:hAnsi="仿宋" w:eastAsia="仿宋"/>
          <w:color w:val="444444"/>
          <w:sz w:val="28"/>
          <w:szCs w:val="19"/>
          <w:lang w:eastAsia="zh-Hans"/>
        </w:rPr>
        <w:t xml:space="preserve"> 2021</w:t>
      </w:r>
      <w:r>
        <w:rPr>
          <w:rFonts w:hint="eastAsia" w:ascii="仿宋" w:hAnsi="仿宋" w:eastAsia="仿宋"/>
          <w:color w:val="444444"/>
          <w:sz w:val="28"/>
          <w:szCs w:val="19"/>
          <w:lang w:val="en-US" w:eastAsia="zh-Hans"/>
        </w:rPr>
        <w:t>年招生专业和学习形式如下。</w:t>
      </w:r>
    </w:p>
    <w:tbl>
      <w:tblPr>
        <w:tblStyle w:val="5"/>
        <w:tblpPr w:leftFromText="180" w:rightFromText="180" w:vertAnchor="text" w:horzAnchor="page" w:tblpXSpec="center" w:tblpY="373"/>
        <w:tblOverlap w:val="never"/>
        <w:tblW w:w="10602" w:type="dxa"/>
        <w:jc w:val="center"/>
        <w:tblLayout w:type="fixed"/>
        <w:tblCellMar>
          <w:top w:w="0" w:type="dxa"/>
          <w:left w:w="0" w:type="dxa"/>
          <w:bottom w:w="0" w:type="dxa"/>
          <w:right w:w="0" w:type="dxa"/>
        </w:tblCellMar>
      </w:tblPr>
      <w:tblGrid>
        <w:gridCol w:w="3341"/>
        <w:gridCol w:w="1902"/>
        <w:gridCol w:w="2229"/>
        <w:gridCol w:w="1565"/>
        <w:gridCol w:w="1565"/>
      </w:tblGrid>
      <w:tr>
        <w:tblPrEx>
          <w:tblCellMar>
            <w:top w:w="0" w:type="dxa"/>
            <w:left w:w="0" w:type="dxa"/>
            <w:bottom w:w="0" w:type="dxa"/>
            <w:right w:w="0" w:type="dxa"/>
          </w:tblCellMar>
        </w:tblPrEx>
        <w:trPr>
          <w:trHeight w:val="624" w:hRule="atLeast"/>
          <w:jc w:val="center"/>
        </w:trPr>
        <w:tc>
          <w:tcPr>
            <w:tcW w:w="3341" w:type="dxa"/>
            <w:tcBorders>
              <w:top w:val="single" w:color="auto" w:sz="4" w:space="0"/>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专业名称</w:t>
            </w:r>
          </w:p>
        </w:tc>
        <w:tc>
          <w:tcPr>
            <w:tcW w:w="1902" w:type="dxa"/>
            <w:tcBorders>
              <w:top w:val="single" w:color="auto" w:sz="4" w:space="0"/>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学习形式</w:t>
            </w:r>
          </w:p>
        </w:tc>
        <w:tc>
          <w:tcPr>
            <w:tcW w:w="2229" w:type="dxa"/>
            <w:tcBorders>
              <w:top w:val="single" w:color="auto" w:sz="4" w:space="0"/>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成人高考科类</w:t>
            </w:r>
          </w:p>
        </w:tc>
        <w:tc>
          <w:tcPr>
            <w:tcW w:w="1565" w:type="dxa"/>
            <w:tcBorders>
              <w:top w:val="single" w:color="auto" w:sz="4" w:space="0"/>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b/>
                <w:bCs/>
                <w:kern w:val="0"/>
                <w:sz w:val="28"/>
                <w:szCs w:val="28"/>
                <w:lang w:val="en-US" w:eastAsia="zh-Hans"/>
              </w:rPr>
            </w:pPr>
            <w:r>
              <w:rPr>
                <w:rFonts w:hint="eastAsia" w:ascii="仿宋" w:hAnsi="仿宋" w:eastAsia="仿宋" w:cs="仿宋"/>
                <w:b/>
                <w:bCs/>
                <w:kern w:val="0"/>
                <w:sz w:val="28"/>
                <w:szCs w:val="28"/>
                <w:lang w:val="en-US" w:eastAsia="zh-Hans"/>
              </w:rPr>
              <w:t>层次</w:t>
            </w:r>
          </w:p>
        </w:tc>
        <w:tc>
          <w:tcPr>
            <w:tcW w:w="1565" w:type="dxa"/>
            <w:tcBorders>
              <w:top w:val="single" w:color="auto" w:sz="4" w:space="0"/>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修业年限</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学前教育</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业余、函授</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文科类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Hans"/>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大数据与</w:t>
            </w:r>
            <w:r>
              <w:rPr>
                <w:rFonts w:hint="eastAsia" w:ascii="仿宋" w:hAnsi="仿宋" w:eastAsia="仿宋" w:cs="仿宋"/>
                <w:kern w:val="0"/>
                <w:sz w:val="28"/>
                <w:szCs w:val="28"/>
                <w:lang w:val="en-US" w:eastAsia="zh-CN"/>
              </w:rPr>
              <w:t>会计</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文科类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国际商务</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文科类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酒店管理</w:t>
            </w:r>
            <w:r>
              <w:rPr>
                <w:rFonts w:hint="eastAsia" w:ascii="仿宋" w:hAnsi="仿宋" w:eastAsia="仿宋" w:cs="仿宋"/>
                <w:kern w:val="0"/>
                <w:sz w:val="28"/>
                <w:szCs w:val="28"/>
                <w:lang w:val="en-US" w:eastAsia="zh-Hans"/>
              </w:rPr>
              <w:t>与数字化运营</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业余、函授</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文科类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旅行社经营管理</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文科类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连锁经营</w:t>
            </w:r>
            <w:r>
              <w:rPr>
                <w:rFonts w:hint="eastAsia" w:ascii="仿宋" w:hAnsi="仿宋" w:eastAsia="仿宋" w:cs="仿宋"/>
                <w:kern w:val="0"/>
                <w:sz w:val="28"/>
                <w:szCs w:val="28"/>
                <w:lang w:val="en-US" w:eastAsia="zh-Hans"/>
              </w:rPr>
              <w:t>与</w:t>
            </w:r>
            <w:r>
              <w:rPr>
                <w:rFonts w:hint="eastAsia" w:ascii="仿宋" w:hAnsi="仿宋" w:eastAsia="仿宋" w:cs="仿宋"/>
                <w:kern w:val="0"/>
                <w:sz w:val="28"/>
                <w:szCs w:val="28"/>
                <w:lang w:val="en-US" w:eastAsia="zh-CN"/>
              </w:rPr>
              <w:t>管理</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文科类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机电一体化技术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业余、函授</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汽车</w:t>
            </w:r>
            <w:r>
              <w:rPr>
                <w:rFonts w:hint="eastAsia" w:ascii="仿宋" w:hAnsi="仿宋" w:eastAsia="仿宋" w:cs="仿宋"/>
                <w:kern w:val="0"/>
                <w:sz w:val="28"/>
                <w:szCs w:val="28"/>
                <w:lang w:val="en-US" w:eastAsia="zh-Hans"/>
              </w:rPr>
              <w:t>制造与试验</w:t>
            </w:r>
            <w:r>
              <w:rPr>
                <w:rFonts w:hint="eastAsia" w:ascii="仿宋" w:hAnsi="仿宋" w:eastAsia="仿宋" w:cs="仿宋"/>
                <w:kern w:val="0"/>
                <w:sz w:val="28"/>
                <w:szCs w:val="28"/>
                <w:lang w:val="en-US" w:eastAsia="zh-CN"/>
              </w:rPr>
              <w:t>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业余、函授</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电气自动化技术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Hans"/>
              </w:rPr>
            </w:pPr>
            <w:r>
              <w:rPr>
                <w:rFonts w:hint="eastAsia" w:ascii="仿宋" w:hAnsi="仿宋" w:eastAsia="仿宋" w:cs="仿宋"/>
                <w:kern w:val="0"/>
                <w:sz w:val="28"/>
                <w:szCs w:val="28"/>
                <w:lang w:val="en-US" w:eastAsia="zh-Hans"/>
              </w:rPr>
              <w:t>机械制造与自动化</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模具设计与制造</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应用电子技术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建筑工程技术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业余、函授</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工程造价</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建筑装饰工程技术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市政工程技术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计算机应用技术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业余、函授</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Hans"/>
              </w:rPr>
            </w:pPr>
            <w:r>
              <w:rPr>
                <w:rFonts w:hint="eastAsia" w:ascii="仿宋" w:hAnsi="仿宋" w:eastAsia="仿宋" w:cs="仿宋"/>
                <w:kern w:val="0"/>
                <w:sz w:val="28"/>
                <w:szCs w:val="28"/>
                <w:lang w:val="en-US" w:eastAsia="zh-Hans"/>
              </w:rPr>
              <w:t>大数据技术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计算机网络技术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Hans"/>
              </w:rPr>
            </w:pPr>
            <w:r>
              <w:rPr>
                <w:rFonts w:hint="eastAsia" w:ascii="仿宋" w:hAnsi="仿宋" w:eastAsia="仿宋" w:cs="仿宋"/>
                <w:kern w:val="0"/>
                <w:sz w:val="28"/>
                <w:szCs w:val="28"/>
                <w:lang w:val="en-US" w:eastAsia="zh-Hans"/>
              </w:rPr>
              <w:t>软件技术</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业余、函授</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理科类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室内艺术设计</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艺术类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8"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Hans"/>
              </w:rPr>
            </w:pPr>
            <w:r>
              <w:rPr>
                <w:rFonts w:hint="eastAsia" w:ascii="仿宋" w:hAnsi="仿宋" w:eastAsia="仿宋" w:cs="仿宋"/>
                <w:kern w:val="0"/>
                <w:sz w:val="28"/>
                <w:szCs w:val="28"/>
                <w:lang w:val="en-US" w:eastAsia="zh-Hans"/>
              </w:rPr>
              <w:t>广告艺术设计</w:t>
            </w:r>
          </w:p>
        </w:tc>
        <w:tc>
          <w:tcPr>
            <w:tcW w:w="1902"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8"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艺术类</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8"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r>
        <w:tblPrEx>
          <w:tblCellMar>
            <w:top w:w="0" w:type="dxa"/>
            <w:left w:w="0" w:type="dxa"/>
            <w:bottom w:w="0" w:type="dxa"/>
            <w:right w:w="0" w:type="dxa"/>
          </w:tblCellMar>
        </w:tblPrEx>
        <w:trPr>
          <w:trHeight w:val="624" w:hRule="atLeast"/>
          <w:jc w:val="center"/>
        </w:trPr>
        <w:tc>
          <w:tcPr>
            <w:tcW w:w="3341" w:type="dxa"/>
            <w:tcBorders>
              <w:top w:val="nil"/>
              <w:left w:val="single" w:color="auto" w:sz="4" w:space="0"/>
              <w:bottom w:val="single" w:color="auto" w:sz="4" w:space="0"/>
              <w:right w:val="single" w:color="auto" w:sz="8"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环境艺术设计</w:t>
            </w:r>
          </w:p>
        </w:tc>
        <w:tc>
          <w:tcPr>
            <w:tcW w:w="1902" w:type="dxa"/>
            <w:tcBorders>
              <w:top w:val="nil"/>
              <w:left w:val="nil"/>
              <w:bottom w:val="single" w:color="auto" w:sz="4"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业余</w:t>
            </w:r>
          </w:p>
        </w:tc>
        <w:tc>
          <w:tcPr>
            <w:tcW w:w="2229" w:type="dxa"/>
            <w:tcBorders>
              <w:top w:val="nil"/>
              <w:left w:val="nil"/>
              <w:bottom w:val="single" w:color="auto" w:sz="4" w:space="0"/>
              <w:right w:val="single" w:color="auto" w:sz="8" w:space="0"/>
            </w:tcBorders>
            <w:noWrap/>
            <w:tcMar>
              <w:left w:w="108" w:type="dxa"/>
              <w:right w:w="108" w:type="dxa"/>
            </w:tcMar>
            <w:vAlign w:val="center"/>
          </w:tcPr>
          <w:p>
            <w:pPr>
              <w:keepNext w:val="0"/>
              <w:keepLines w:val="0"/>
              <w:widowControl/>
              <w:suppressLineNumbers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艺术类</w:t>
            </w:r>
          </w:p>
        </w:tc>
        <w:tc>
          <w:tcPr>
            <w:tcW w:w="1565" w:type="dxa"/>
            <w:tcBorders>
              <w:top w:val="nil"/>
              <w:left w:val="nil"/>
              <w:bottom w:val="single" w:color="auto" w:sz="4"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Hans"/>
              </w:rPr>
              <w:t>专科</w:t>
            </w:r>
          </w:p>
        </w:tc>
        <w:tc>
          <w:tcPr>
            <w:tcW w:w="1565" w:type="dxa"/>
            <w:tcBorders>
              <w:top w:val="nil"/>
              <w:left w:val="nil"/>
              <w:bottom w:val="single" w:color="auto" w:sz="4" w:space="0"/>
              <w:right w:val="single" w:color="auto" w:sz="4" w:space="0"/>
            </w:tcBorders>
            <w:noWrap/>
            <w:tcMar>
              <w:left w:w="108" w:type="dxa"/>
              <w:right w:w="108" w:type="dxa"/>
            </w:tcMar>
            <w:vAlign w:val="center"/>
          </w:tcPr>
          <w:p>
            <w:pPr>
              <w:keepNext w:val="0"/>
              <w:keepLines w:val="0"/>
              <w:widowControl/>
              <w:suppressLineNumbers w:val="0"/>
              <w:ind w:left="0" w:leftChars="0" w:firstLine="0" w:firstLineChars="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2.5年</w:t>
            </w:r>
          </w:p>
        </w:tc>
      </w:tr>
    </w:tbl>
    <w:p/>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r>
        <w:rPr>
          <w:rStyle w:val="7"/>
          <w:rFonts w:hint="eastAsia" w:ascii="黑体" w:hAnsi="黑体" w:eastAsia="黑体" w:cs="黑体"/>
          <w:b w:val="0"/>
          <w:bCs w:val="0"/>
          <w:sz w:val="32"/>
          <w:szCs w:val="23"/>
        </w:rPr>
        <w:t>第三章  录取原则</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第六条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rPr>
        <w:t>实行“学校负责、省教育考试院监督”的录取体制。成人高等教育招生录取工作严格遵守教育部、浙江省教育厅、浙江省教育考试院的有关政策规定，积极组织实施高校招生“阳光工程”。</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第七条</w:t>
      </w:r>
      <w:r>
        <w:rPr>
          <w:rFonts w:hint="default" w:ascii="仿宋" w:hAnsi="仿宋" w:eastAsia="仿宋"/>
          <w:color w:val="444444"/>
          <w:sz w:val="28"/>
          <w:szCs w:val="19"/>
        </w:rPr>
        <w:t xml:space="preserve"> </w:t>
      </w:r>
      <w:r>
        <w:rPr>
          <w:rFonts w:hint="eastAsia" w:ascii="仿宋" w:hAnsi="仿宋" w:eastAsia="仿宋"/>
          <w:color w:val="444444"/>
          <w:sz w:val="28"/>
          <w:szCs w:val="19"/>
        </w:rPr>
        <w:t>遵循“公平竞争、公正选拔、公开透明、综合评价、择优录取”的原则</w:t>
      </w:r>
      <w:r>
        <w:rPr>
          <w:rFonts w:hint="eastAsia" w:ascii="仿宋" w:hAnsi="仿宋" w:eastAsia="仿宋"/>
          <w:color w:val="444444"/>
          <w:sz w:val="28"/>
          <w:szCs w:val="19"/>
          <w:lang w:eastAsia="zh-Hans"/>
        </w:rPr>
        <w:t>，</w:t>
      </w:r>
      <w:r>
        <w:rPr>
          <w:rFonts w:hint="eastAsia" w:ascii="仿宋" w:hAnsi="仿宋" w:eastAsia="仿宋"/>
          <w:color w:val="444444"/>
          <w:sz w:val="28"/>
          <w:szCs w:val="19"/>
        </w:rPr>
        <w:t>依照浙江省教育考试院所确定的最低录取控制分数线，按考生志愿和招生计划，分专业从高分到低分择优录取。艺术（文）类学生，语文、英语两门课总分达到全省成人高校录取最低控制分数线，按总分从高分到低分择优录取。两门课总分相同的，按艺术类加试成绩，从高分到低分择优录取。无</w:t>
      </w:r>
      <w:r>
        <w:rPr>
          <w:rFonts w:hint="eastAsia" w:ascii="仿宋" w:hAnsi="仿宋" w:eastAsia="仿宋"/>
          <w:color w:val="444444"/>
          <w:sz w:val="28"/>
          <w:szCs w:val="19"/>
          <w:lang w:val="en-US" w:eastAsia="zh-Hans"/>
        </w:rPr>
        <w:t>学校认可的</w:t>
      </w:r>
      <w:r>
        <w:rPr>
          <w:rFonts w:hint="eastAsia" w:ascii="仿宋" w:hAnsi="仿宋" w:eastAsia="仿宋"/>
          <w:color w:val="444444"/>
          <w:sz w:val="28"/>
          <w:szCs w:val="19"/>
        </w:rPr>
        <w:t>艺术类加试成绩者不予录取。</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第八条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rPr>
        <w:t>加分政策见《浙江省成人高校招生工作实施意见》。</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第九条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rPr>
        <w:t>在招生计划许可的情况下，各专业</w:t>
      </w:r>
      <w:r>
        <w:rPr>
          <w:rFonts w:hint="eastAsia" w:ascii="仿宋" w:hAnsi="仿宋" w:eastAsia="仿宋"/>
          <w:color w:val="444444"/>
          <w:sz w:val="28"/>
          <w:szCs w:val="19"/>
          <w:lang w:val="en-US" w:eastAsia="zh-Hans"/>
        </w:rPr>
        <w:t>实际</w:t>
      </w:r>
      <w:r>
        <w:rPr>
          <w:rFonts w:hint="eastAsia" w:ascii="仿宋" w:hAnsi="仿宋" w:eastAsia="仿宋"/>
          <w:color w:val="444444"/>
          <w:sz w:val="28"/>
          <w:szCs w:val="19"/>
        </w:rPr>
        <w:t>招生人数可视成人高考上分数线人数和学校办学资源而定。</w:t>
      </w: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r>
        <w:rPr>
          <w:rStyle w:val="7"/>
          <w:rFonts w:hint="eastAsia" w:ascii="黑体" w:hAnsi="黑体" w:eastAsia="黑体" w:cs="黑体"/>
          <w:b w:val="0"/>
          <w:bCs w:val="0"/>
          <w:sz w:val="32"/>
          <w:szCs w:val="23"/>
        </w:rPr>
        <w:t>第四章  学费与</w:t>
      </w:r>
      <w:r>
        <w:rPr>
          <w:rStyle w:val="7"/>
          <w:rFonts w:hint="eastAsia" w:ascii="黑体" w:hAnsi="黑体" w:eastAsia="黑体" w:cs="黑体"/>
          <w:b w:val="0"/>
          <w:bCs w:val="0"/>
          <w:sz w:val="32"/>
          <w:szCs w:val="23"/>
          <w:lang w:val="en-US" w:eastAsia="zh-Hans"/>
        </w:rPr>
        <w:t>毕业</w:t>
      </w:r>
      <w:r>
        <w:rPr>
          <w:rStyle w:val="7"/>
          <w:rFonts w:hint="eastAsia" w:ascii="黑体" w:hAnsi="黑体" w:eastAsia="黑体" w:cs="黑体"/>
          <w:b w:val="0"/>
          <w:bCs w:val="0"/>
          <w:sz w:val="32"/>
          <w:szCs w:val="23"/>
        </w:rPr>
        <w:t>证书</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第十条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rPr>
        <w:t>学费严格按照《浙江省物价局 浙江省财政厅 浙江省教育厅关于调整成人高等教育收费标准的通知》（浙价费[2014]245号）的规定和要求执行。</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第十一条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rPr>
        <w:t>新生入学注册后，学校依据《</w:t>
      </w:r>
      <w:r>
        <w:rPr>
          <w:rFonts w:hint="eastAsia" w:ascii="仿宋" w:hAnsi="仿宋" w:eastAsia="仿宋"/>
          <w:color w:val="444444"/>
          <w:sz w:val="28"/>
          <w:szCs w:val="19"/>
          <w:lang w:val="en-US" w:eastAsia="zh-Hans"/>
        </w:rPr>
        <w:t>杭州科技职业技术学院</w:t>
      </w:r>
      <w:r>
        <w:rPr>
          <w:rFonts w:hint="eastAsia" w:ascii="仿宋" w:hAnsi="仿宋" w:eastAsia="仿宋"/>
          <w:color w:val="444444"/>
          <w:sz w:val="28"/>
          <w:szCs w:val="19"/>
        </w:rPr>
        <w:t>学籍管理规定》进行管理，按专业人才培养方案和教学计划对学生进行培养</w:t>
      </w:r>
      <w:r>
        <w:rPr>
          <w:rFonts w:hint="default" w:ascii="仿宋" w:hAnsi="仿宋" w:eastAsia="仿宋"/>
          <w:color w:val="444444"/>
          <w:sz w:val="28"/>
          <w:szCs w:val="19"/>
        </w:rPr>
        <w:t>.</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第十二条</w:t>
      </w:r>
      <w:r>
        <w:rPr>
          <w:rFonts w:hint="default" w:ascii="仿宋" w:hAnsi="仿宋" w:eastAsia="仿宋"/>
          <w:color w:val="444444"/>
          <w:sz w:val="28"/>
          <w:szCs w:val="19"/>
          <w:lang w:eastAsia="zh-Hans"/>
        </w:rPr>
        <w:t xml:space="preserve"> </w:t>
      </w:r>
      <w:r>
        <w:rPr>
          <w:rFonts w:hint="default" w:ascii="仿宋" w:hAnsi="仿宋" w:eastAsia="仿宋"/>
          <w:color w:val="444444"/>
          <w:sz w:val="28"/>
          <w:szCs w:val="19"/>
        </w:rPr>
        <w:t>由省考试院正式录取到</w:t>
      </w:r>
      <w:r>
        <w:rPr>
          <w:rFonts w:hint="eastAsia" w:ascii="仿宋" w:hAnsi="仿宋" w:eastAsia="仿宋"/>
          <w:color w:val="444444"/>
          <w:sz w:val="28"/>
          <w:szCs w:val="19"/>
          <w:lang w:val="en-US" w:eastAsia="zh-Hans"/>
        </w:rPr>
        <w:t>本校</w:t>
      </w:r>
      <w:r>
        <w:rPr>
          <w:rFonts w:hint="default" w:ascii="仿宋" w:hAnsi="仿宋" w:eastAsia="仿宋"/>
          <w:color w:val="444444"/>
          <w:sz w:val="28"/>
          <w:szCs w:val="19"/>
        </w:rPr>
        <w:t>的学生，修完教学计划规定的科目，成绩合格，达到最低毕业年限，符合毕业条件者，由杭州科技职业技术学院颁发经教育部电子注册的成人高等教育大专毕业证书。</w:t>
      </w: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r>
        <w:rPr>
          <w:rStyle w:val="7"/>
          <w:rFonts w:hint="eastAsia" w:ascii="黑体" w:hAnsi="黑体" w:eastAsia="黑体" w:cs="黑体"/>
          <w:b w:val="0"/>
          <w:bCs w:val="0"/>
          <w:sz w:val="32"/>
          <w:szCs w:val="23"/>
        </w:rPr>
        <w:t>第五章  其他</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第十三条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rPr>
        <w:t>被本校录取的新生，必须按规定准时到学校本部或各教学站点办理入学手续，逾期不报到又无正当理由者，则取消其入学资格。</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lang w:val="en-US" w:eastAsia="zh-Hans"/>
        </w:rPr>
      </w:pPr>
      <w:r>
        <w:rPr>
          <w:rFonts w:hint="eastAsia" w:ascii="黑体" w:hAnsi="黑体" w:eastAsia="黑体" w:cs="黑体"/>
          <w:color w:val="444444"/>
          <w:sz w:val="28"/>
          <w:szCs w:val="19"/>
          <w:lang w:val="en-US" w:eastAsia="zh-Hans"/>
        </w:rPr>
        <w:t>第十四条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lang w:val="en-US" w:eastAsia="zh-Hans"/>
        </w:rPr>
        <w:t>专业招生</w:t>
      </w:r>
      <w:r>
        <w:rPr>
          <w:rFonts w:hint="default" w:ascii="仿宋" w:hAnsi="仿宋" w:eastAsia="仿宋"/>
          <w:color w:val="444444"/>
          <w:sz w:val="28"/>
          <w:szCs w:val="19"/>
          <w:lang w:eastAsia="zh-Hans"/>
        </w:rPr>
        <w:t>人数不足20</w:t>
      </w:r>
      <w:r>
        <w:rPr>
          <w:rFonts w:hint="eastAsia" w:ascii="仿宋" w:hAnsi="仿宋" w:eastAsia="仿宋"/>
          <w:color w:val="444444"/>
          <w:sz w:val="28"/>
          <w:szCs w:val="19"/>
          <w:lang w:val="en-US" w:eastAsia="zh-Hans"/>
        </w:rPr>
        <w:t>人</w:t>
      </w:r>
      <w:r>
        <w:rPr>
          <w:rFonts w:hint="default" w:ascii="仿宋" w:hAnsi="仿宋" w:eastAsia="仿宋"/>
          <w:color w:val="444444"/>
          <w:sz w:val="28"/>
          <w:szCs w:val="19"/>
          <w:lang w:eastAsia="zh-Hans"/>
        </w:rPr>
        <w:t>不能开班，其上线考生在征求考生本人意见后转至</w:t>
      </w:r>
      <w:r>
        <w:rPr>
          <w:rFonts w:hint="eastAsia" w:ascii="仿宋" w:hAnsi="仿宋" w:eastAsia="仿宋"/>
          <w:color w:val="444444"/>
          <w:sz w:val="28"/>
          <w:szCs w:val="19"/>
          <w:lang w:val="en-US" w:eastAsia="zh-Hans"/>
        </w:rPr>
        <w:t>相近专业学习</w:t>
      </w:r>
      <w:r>
        <w:rPr>
          <w:rFonts w:hint="default" w:ascii="仿宋" w:hAnsi="仿宋" w:eastAsia="仿宋"/>
          <w:color w:val="444444"/>
          <w:sz w:val="28"/>
          <w:szCs w:val="19"/>
          <w:lang w:eastAsia="zh-Hans"/>
        </w:rPr>
        <w:t>。</w:t>
      </w: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p>
    <w:p>
      <w:pPr>
        <w:pStyle w:val="4"/>
        <w:shd w:val="clear" w:color="auto" w:fill="FFFFFF"/>
        <w:adjustRightInd w:val="0"/>
        <w:snapToGrid w:val="0"/>
        <w:spacing w:before="0" w:beforeAutospacing="0" w:after="0" w:afterAutospacing="0" w:line="360" w:lineRule="auto"/>
        <w:jc w:val="center"/>
        <w:rPr>
          <w:rStyle w:val="7"/>
          <w:rFonts w:hint="eastAsia" w:ascii="黑体" w:hAnsi="黑体" w:eastAsia="黑体" w:cs="黑体"/>
          <w:b w:val="0"/>
          <w:bCs w:val="0"/>
          <w:sz w:val="32"/>
          <w:szCs w:val="23"/>
        </w:rPr>
      </w:pPr>
      <w:r>
        <w:rPr>
          <w:rStyle w:val="7"/>
          <w:rFonts w:hint="eastAsia" w:ascii="黑体" w:hAnsi="黑体" w:eastAsia="黑体" w:cs="黑体"/>
          <w:b w:val="0"/>
          <w:bCs w:val="0"/>
          <w:sz w:val="32"/>
          <w:szCs w:val="23"/>
        </w:rPr>
        <w:t>第六章  附则</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lang w:val="en-US" w:eastAsia="zh-Hans"/>
        </w:rPr>
        <w:t>第十五条</w:t>
      </w:r>
      <w:r>
        <w:rPr>
          <w:rFonts w:hint="default" w:ascii="仿宋" w:hAnsi="仿宋" w:eastAsia="仿宋"/>
          <w:color w:val="444444"/>
          <w:sz w:val="28"/>
          <w:szCs w:val="19"/>
          <w:lang w:eastAsia="zh-Hans"/>
        </w:rPr>
        <w:t xml:space="preserve"> </w:t>
      </w:r>
      <w:r>
        <w:rPr>
          <w:rFonts w:hint="eastAsia" w:ascii="仿宋" w:hAnsi="仿宋" w:eastAsia="仿宋"/>
          <w:color w:val="444444"/>
          <w:sz w:val="28"/>
          <w:szCs w:val="19"/>
        </w:rPr>
        <w:t>本章程由</w:t>
      </w:r>
      <w:r>
        <w:rPr>
          <w:rFonts w:hint="eastAsia" w:ascii="仿宋" w:hAnsi="仿宋" w:eastAsia="仿宋"/>
          <w:color w:val="444444"/>
          <w:sz w:val="28"/>
          <w:szCs w:val="19"/>
          <w:lang w:val="en-US" w:eastAsia="zh-Hans"/>
        </w:rPr>
        <w:t>杭州科技职业技术</w:t>
      </w:r>
      <w:r>
        <w:rPr>
          <w:rFonts w:hint="eastAsia" w:ascii="仿宋" w:hAnsi="仿宋" w:eastAsia="仿宋"/>
          <w:color w:val="444444"/>
          <w:sz w:val="28"/>
          <w:szCs w:val="19"/>
        </w:rPr>
        <w:t>学院继续教育学院负责解释。</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rPr>
        <w:t>联系地址：</w:t>
      </w:r>
      <w:r>
        <w:rPr>
          <w:rFonts w:hint="eastAsia" w:ascii="仿宋" w:hAnsi="仿宋" w:eastAsia="仿宋"/>
          <w:color w:val="444444"/>
          <w:sz w:val="28"/>
          <w:szCs w:val="19"/>
          <w:lang w:val="en-US" w:eastAsia="zh-Hans"/>
        </w:rPr>
        <w:t>杭州市西湖区毛家桥路</w:t>
      </w:r>
      <w:r>
        <w:rPr>
          <w:rFonts w:hint="default" w:ascii="仿宋" w:hAnsi="仿宋" w:eastAsia="仿宋"/>
          <w:color w:val="444444"/>
          <w:sz w:val="28"/>
          <w:szCs w:val="19"/>
          <w:lang w:eastAsia="zh-Hans"/>
        </w:rPr>
        <w:t>26</w:t>
      </w:r>
      <w:r>
        <w:rPr>
          <w:rFonts w:hint="eastAsia" w:ascii="仿宋" w:hAnsi="仿宋" w:eastAsia="仿宋"/>
          <w:color w:val="444444"/>
          <w:sz w:val="28"/>
          <w:szCs w:val="19"/>
          <w:lang w:val="en-US" w:eastAsia="zh-Hans"/>
        </w:rPr>
        <w:t>号</w:t>
      </w:r>
      <w:r>
        <w:rPr>
          <w:rFonts w:hint="eastAsia" w:ascii="仿宋" w:hAnsi="仿宋" w:eastAsia="仿宋"/>
          <w:color w:val="444444"/>
          <w:sz w:val="28"/>
          <w:szCs w:val="19"/>
        </w:rPr>
        <w:t>。</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rPr>
        <w:t>邮    编：</w:t>
      </w:r>
      <w:r>
        <w:rPr>
          <w:rFonts w:hint="eastAsia" w:ascii="仿宋" w:hAnsi="仿宋" w:eastAsia="仿宋"/>
          <w:color w:val="444444"/>
          <w:sz w:val="28"/>
          <w:szCs w:val="19"/>
        </w:rPr>
        <w:t>3</w:t>
      </w:r>
      <w:r>
        <w:rPr>
          <w:rFonts w:hint="default" w:ascii="仿宋" w:hAnsi="仿宋" w:eastAsia="仿宋"/>
          <w:color w:val="444444"/>
          <w:sz w:val="28"/>
          <w:szCs w:val="19"/>
        </w:rPr>
        <w:t>10012</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rPr>
        <w:t>联系电话：</w:t>
      </w:r>
      <w:r>
        <w:rPr>
          <w:rFonts w:hint="eastAsia" w:ascii="仿宋" w:hAnsi="仿宋" w:eastAsia="仿宋"/>
          <w:color w:val="444444"/>
          <w:sz w:val="28"/>
          <w:szCs w:val="19"/>
        </w:rPr>
        <w:t>057</w:t>
      </w:r>
      <w:r>
        <w:rPr>
          <w:rFonts w:hint="default" w:ascii="仿宋" w:hAnsi="仿宋" w:eastAsia="仿宋"/>
          <w:color w:val="444444"/>
          <w:sz w:val="28"/>
          <w:szCs w:val="19"/>
        </w:rPr>
        <w:t>1-28288010</w:t>
      </w:r>
    </w:p>
    <w:p>
      <w:pPr>
        <w:pStyle w:val="4"/>
        <w:shd w:val="clear" w:color="auto" w:fill="FFFFFF"/>
        <w:adjustRightInd w:val="0"/>
        <w:snapToGrid w:val="0"/>
        <w:spacing w:before="0" w:beforeAutospacing="0" w:after="0" w:afterAutospacing="0" w:line="360" w:lineRule="auto"/>
        <w:ind w:firstLine="560" w:firstLineChars="200"/>
        <w:rPr>
          <w:rFonts w:hint="eastAsia" w:ascii="仿宋" w:hAnsi="仿宋" w:eastAsia="仿宋"/>
          <w:color w:val="444444"/>
          <w:sz w:val="28"/>
          <w:szCs w:val="19"/>
        </w:rPr>
      </w:pPr>
      <w:r>
        <w:rPr>
          <w:rFonts w:hint="eastAsia" w:ascii="黑体" w:hAnsi="黑体" w:eastAsia="黑体" w:cs="黑体"/>
          <w:color w:val="444444"/>
          <w:sz w:val="28"/>
          <w:szCs w:val="19"/>
        </w:rPr>
        <w:t>学校网址：</w:t>
      </w:r>
      <w:r>
        <w:rPr>
          <w:rFonts w:hint="eastAsia" w:ascii="仿宋" w:hAnsi="仿宋" w:eastAsia="仿宋"/>
          <w:color w:val="444444"/>
          <w:sz w:val="28"/>
          <w:szCs w:val="19"/>
        </w:rPr>
        <w:t>http://www.</w:t>
      </w:r>
      <w:r>
        <w:rPr>
          <w:rFonts w:hint="default" w:ascii="仿宋" w:hAnsi="仿宋" w:eastAsia="仿宋"/>
          <w:color w:val="444444"/>
          <w:sz w:val="28"/>
          <w:szCs w:val="19"/>
        </w:rPr>
        <w:t>hzpt.edu.cn</w:t>
      </w:r>
      <w:r>
        <w:rPr>
          <w:rFonts w:hint="eastAsia" w:ascii="仿宋" w:hAnsi="仿宋" w:eastAsia="仿宋"/>
          <w:color w:val="444444"/>
          <w:sz w:val="28"/>
          <w:szCs w:val="19"/>
          <w:lang w:eastAsia="zh-Hans"/>
        </w:rPr>
        <w:t>，</w:t>
      </w:r>
      <w:r>
        <w:rPr>
          <w:rFonts w:hint="default" w:ascii="仿宋" w:hAnsi="仿宋" w:eastAsia="仿宋"/>
          <w:color w:val="444444"/>
          <w:sz w:val="28"/>
          <w:szCs w:val="19"/>
          <w:lang w:eastAsia="zh-Hans"/>
        </w:rPr>
        <w:t>http://www.hzrtvu.edu.cn</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35DBF"/>
    <w:rsid w:val="19FFB290"/>
    <w:rsid w:val="1AEB0E37"/>
    <w:rsid w:val="36D115D0"/>
    <w:rsid w:val="5F97E628"/>
    <w:rsid w:val="66FFD7E9"/>
    <w:rsid w:val="76AFB780"/>
    <w:rsid w:val="7BBFC545"/>
    <w:rsid w:val="DBBEF37A"/>
    <w:rsid w:val="DF9F4037"/>
    <w:rsid w:val="F79DC45A"/>
    <w:rsid w:val="FAFF0738"/>
    <w:rsid w:val="FDD35DBF"/>
    <w:rsid w:val="FFD76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kern w:val="0"/>
      <w:sz w:val="24"/>
    </w:rPr>
  </w:style>
  <w:style w:type="character" w:styleId="7">
    <w:name w:val="Strong"/>
    <w:basedOn w:val="6"/>
    <w:qFormat/>
    <w:uiPriority w:val="0"/>
    <w:rPr>
      <w:rFonts w:ascii="Calibri" w:hAnsi="Calibri" w:eastAsia="宋体" w:cs="Arial"/>
      <w:b/>
      <w:bCs/>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2021-09-17T13:23:00Z</dcterms:created>
  <dc:creator>maodanqing</dc:creator>
  <cp:lastModifiedBy>酥饼awei</cp:lastModifiedBy>
  <dcterms:modified xsi:type="dcterms:W3CDTF">2021-10-25T01:57:50Z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DE2BEF106D21498B8FA51F963FDC7A1D</vt:lpwstr>
  </property>
</Properties>
</file>