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4F" w:rsidRDefault="00C3267E">
      <w:pPr>
        <w:jc w:val="center"/>
        <w:rPr>
          <w:rFonts w:ascii="宋体" w:hAnsi="宋体"/>
          <w:b/>
          <w:sz w:val="32"/>
          <w:szCs w:val="32"/>
        </w:rPr>
      </w:pPr>
      <w:r>
        <w:rPr>
          <w:rFonts w:ascii="宋体" w:hAnsi="宋体" w:hint="eastAsia"/>
          <w:b/>
          <w:sz w:val="32"/>
          <w:szCs w:val="32"/>
        </w:rPr>
        <w:t>浙江国际海运职业技术学院</w:t>
      </w:r>
    </w:p>
    <w:p w:rsidR="0044404F" w:rsidRDefault="00ED22DB">
      <w:pPr>
        <w:jc w:val="center"/>
        <w:rPr>
          <w:rFonts w:ascii="宋体" w:hAnsi="宋体"/>
          <w:b/>
          <w:sz w:val="32"/>
          <w:szCs w:val="32"/>
        </w:rPr>
      </w:pPr>
      <w:r>
        <w:rPr>
          <w:rFonts w:ascii="宋体" w:hAnsi="宋体" w:hint="eastAsia"/>
          <w:b/>
          <w:sz w:val="32"/>
          <w:szCs w:val="32"/>
        </w:rPr>
        <w:t>2021年</w:t>
      </w:r>
      <w:r w:rsidR="00C3267E">
        <w:rPr>
          <w:rFonts w:ascii="宋体" w:hAnsi="宋体" w:hint="eastAsia"/>
          <w:b/>
          <w:sz w:val="32"/>
          <w:szCs w:val="32"/>
        </w:rPr>
        <w:t>成人</w:t>
      </w:r>
      <w:r w:rsidR="0060693F">
        <w:rPr>
          <w:rFonts w:ascii="宋体" w:hAnsi="宋体" w:hint="eastAsia"/>
          <w:b/>
          <w:sz w:val="32"/>
          <w:szCs w:val="32"/>
        </w:rPr>
        <w:t>高等</w:t>
      </w:r>
      <w:r w:rsidR="00C3267E">
        <w:rPr>
          <w:rFonts w:ascii="宋体" w:hAnsi="宋体" w:hint="eastAsia"/>
          <w:b/>
          <w:sz w:val="32"/>
          <w:szCs w:val="32"/>
        </w:rPr>
        <w:t>教育招生章程</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一、学校简介</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浙江国际海运职业技术学院坐落在风景秀丽的“海天佛国、渔都港城”——浙江舟山群岛新区，是一所以航运类专业为龙头，海洋装备制造、港贸物流、石油化工等专业（群）为主体，航海电子信息技术、现代海洋服务等专业（群）协调发展，海洋特色鲜明的公办高等职业技术学院。学校占地约600亩，建筑面积约16万平方米。现有临城本部和岱山两个校区，全日制高职学生6200名，成人教育学生1500余名。</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东海教育学院（成人教育学院）是浙江国际海运职业技术学院的二级学院，主要承担成人学历教育和非学历教育培训，致力于打造具有一定区域影响力的综合性成人教育品牌。学院具备多种形式的成教办学资质，目前已基本形成了多渠道、多专业、多层次的办学体系。先后与上海海事大学、江苏科技大学、宁波大学、武汉理工大学、绍兴文理学院开展合作办学，开设有航海技术、轮机工程技术、船舶工程技术、机电一体化技术、船舶与海洋工程、电气工程及其自动化、行政管理、土木工程、会计学、护理学等等 20 余个本（专）科专业，学历层次涵盖专科、本科。学院还积极与地方</w:t>
      </w:r>
      <w:r w:rsidRPr="00941F39">
        <w:rPr>
          <w:rFonts w:ascii="宋体" w:hAnsi="宋体" w:cs="宋体" w:hint="eastAsia"/>
          <w:kern w:val="0"/>
          <w:sz w:val="28"/>
          <w:szCs w:val="28"/>
        </w:rPr>
        <w:t>政府部</w:t>
      </w:r>
      <w:r>
        <w:rPr>
          <w:rFonts w:ascii="宋体" w:hAnsi="宋体" w:cs="宋体" w:hint="eastAsia"/>
          <w:kern w:val="0"/>
          <w:sz w:val="28"/>
          <w:szCs w:val="28"/>
        </w:rPr>
        <w:t>门和企业开展培训合作，举办各类中短期职业技能培训班，</w:t>
      </w:r>
      <w:bookmarkStart w:id="0" w:name="_GoBack"/>
      <w:bookmarkEnd w:id="0"/>
      <w:r>
        <w:rPr>
          <w:rFonts w:ascii="宋体" w:hAnsi="宋体" w:cs="宋体" w:hint="eastAsia"/>
          <w:kern w:val="0"/>
          <w:sz w:val="28"/>
          <w:szCs w:val="28"/>
        </w:rPr>
        <w:t>为社会、为企业培养了大批应用型人才，取得了显著的社会效益。（2</w:t>
      </w:r>
      <w:r>
        <w:rPr>
          <w:rFonts w:ascii="宋体" w:hAnsi="宋体" w:cs="宋体"/>
          <w:kern w:val="0"/>
          <w:sz w:val="28"/>
          <w:szCs w:val="28"/>
        </w:rPr>
        <w:t>021</w:t>
      </w:r>
      <w:r>
        <w:rPr>
          <w:rFonts w:ascii="宋体" w:hAnsi="宋体" w:cs="宋体" w:hint="eastAsia"/>
          <w:kern w:val="0"/>
          <w:sz w:val="28"/>
          <w:szCs w:val="28"/>
        </w:rPr>
        <w:t>年</w:t>
      </w:r>
      <w:r>
        <w:rPr>
          <w:rFonts w:ascii="宋体" w:hAnsi="宋体" w:cs="宋体"/>
          <w:kern w:val="0"/>
          <w:sz w:val="28"/>
          <w:szCs w:val="28"/>
        </w:rPr>
        <w:t>5</w:t>
      </w:r>
      <w:r>
        <w:rPr>
          <w:rFonts w:ascii="宋体" w:hAnsi="宋体" w:cs="宋体" w:hint="eastAsia"/>
          <w:kern w:val="0"/>
          <w:sz w:val="28"/>
          <w:szCs w:val="28"/>
        </w:rPr>
        <w:t>月）</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二、招生对象</w:t>
      </w:r>
    </w:p>
    <w:p w:rsidR="0044404F" w:rsidRDefault="00C3267E">
      <w:pPr>
        <w:widowControl/>
        <w:spacing w:line="300" w:lineRule="auto"/>
        <w:ind w:firstLine="480"/>
        <w:rPr>
          <w:rFonts w:ascii="宋体" w:hAnsi="宋体" w:cs="宋体"/>
          <w:kern w:val="0"/>
          <w:sz w:val="28"/>
          <w:szCs w:val="28"/>
        </w:rPr>
      </w:pPr>
      <w:r>
        <w:rPr>
          <w:rFonts w:ascii="宋体" w:hAnsi="宋体" w:cs="宋体" w:hint="eastAsia"/>
          <w:kern w:val="0"/>
          <w:sz w:val="28"/>
          <w:szCs w:val="28"/>
        </w:rPr>
        <w:lastRenderedPageBreak/>
        <w:t>具有普通高中、中专、职高、技校毕业证书的应、历届毕业生或同等学力的在职人员。</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三、招生专业</w:t>
      </w:r>
    </w:p>
    <w:p w:rsidR="0044404F" w:rsidRDefault="0044404F">
      <w:pPr>
        <w:widowControl/>
        <w:spacing w:line="300" w:lineRule="auto"/>
        <w:rPr>
          <w:rFonts w:ascii="宋体" w:hAnsi="宋体" w:cs="宋体"/>
          <w:b/>
          <w:kern w:val="0"/>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980"/>
        <w:gridCol w:w="1260"/>
        <w:gridCol w:w="1260"/>
        <w:gridCol w:w="3060"/>
      </w:tblGrid>
      <w:tr w:rsidR="0044404F">
        <w:trPr>
          <w:trHeight w:val="595"/>
        </w:trPr>
        <w:tc>
          <w:tcPr>
            <w:tcW w:w="1368" w:type="dxa"/>
            <w:vAlign w:val="center"/>
          </w:tcPr>
          <w:p w:rsidR="0044404F" w:rsidRDefault="00C3267E">
            <w:pPr>
              <w:spacing w:line="300" w:lineRule="exact"/>
              <w:jc w:val="center"/>
              <w:rPr>
                <w:rFonts w:ascii="宋体" w:hAnsi="宋体"/>
                <w:b/>
                <w:szCs w:val="21"/>
              </w:rPr>
            </w:pPr>
            <w:r>
              <w:rPr>
                <w:rFonts w:ascii="宋体" w:hAnsi="宋体" w:hint="eastAsia"/>
                <w:b/>
                <w:szCs w:val="21"/>
              </w:rPr>
              <w:t>培养层次</w:t>
            </w:r>
          </w:p>
        </w:tc>
        <w:tc>
          <w:tcPr>
            <w:tcW w:w="1980" w:type="dxa"/>
            <w:vAlign w:val="center"/>
          </w:tcPr>
          <w:p w:rsidR="0044404F" w:rsidRDefault="00C3267E">
            <w:pPr>
              <w:spacing w:line="300" w:lineRule="exact"/>
              <w:jc w:val="center"/>
              <w:rPr>
                <w:rFonts w:ascii="宋体" w:hAnsi="宋体"/>
                <w:b/>
                <w:szCs w:val="21"/>
              </w:rPr>
            </w:pPr>
            <w:r>
              <w:rPr>
                <w:rFonts w:ascii="宋体" w:hAnsi="宋体" w:hint="eastAsia"/>
                <w:b/>
                <w:szCs w:val="21"/>
              </w:rPr>
              <w:t>专业名称</w:t>
            </w:r>
          </w:p>
        </w:tc>
        <w:tc>
          <w:tcPr>
            <w:tcW w:w="1260" w:type="dxa"/>
            <w:vAlign w:val="center"/>
          </w:tcPr>
          <w:p w:rsidR="0044404F" w:rsidRDefault="00C3267E">
            <w:pPr>
              <w:spacing w:line="300" w:lineRule="exact"/>
              <w:jc w:val="center"/>
              <w:rPr>
                <w:rFonts w:ascii="宋体" w:hAnsi="宋体"/>
                <w:b/>
                <w:szCs w:val="21"/>
              </w:rPr>
            </w:pPr>
            <w:r>
              <w:rPr>
                <w:rFonts w:ascii="宋体" w:hAnsi="宋体" w:hint="eastAsia"/>
                <w:b/>
                <w:szCs w:val="21"/>
              </w:rPr>
              <w:t>学制</w:t>
            </w:r>
          </w:p>
        </w:tc>
        <w:tc>
          <w:tcPr>
            <w:tcW w:w="1260" w:type="dxa"/>
            <w:vAlign w:val="center"/>
          </w:tcPr>
          <w:p w:rsidR="0044404F" w:rsidRDefault="00C3267E">
            <w:pPr>
              <w:spacing w:line="300" w:lineRule="exact"/>
              <w:jc w:val="center"/>
              <w:rPr>
                <w:rFonts w:ascii="宋体" w:hAnsi="宋体"/>
                <w:b/>
                <w:szCs w:val="21"/>
              </w:rPr>
            </w:pPr>
            <w:r>
              <w:rPr>
                <w:rFonts w:ascii="宋体" w:hAnsi="宋体" w:hint="eastAsia"/>
                <w:b/>
                <w:szCs w:val="21"/>
              </w:rPr>
              <w:t>学习形式</w:t>
            </w:r>
          </w:p>
        </w:tc>
        <w:tc>
          <w:tcPr>
            <w:tcW w:w="3060" w:type="dxa"/>
            <w:vAlign w:val="center"/>
          </w:tcPr>
          <w:p w:rsidR="0044404F" w:rsidRDefault="00C3267E">
            <w:pPr>
              <w:spacing w:line="300" w:lineRule="exact"/>
              <w:jc w:val="center"/>
              <w:rPr>
                <w:rFonts w:ascii="宋体" w:hAnsi="宋体"/>
                <w:b/>
                <w:szCs w:val="21"/>
              </w:rPr>
            </w:pPr>
            <w:r>
              <w:rPr>
                <w:rFonts w:ascii="宋体" w:hAnsi="宋体" w:hint="eastAsia"/>
                <w:b/>
                <w:szCs w:val="21"/>
              </w:rPr>
              <w:t>学费标准</w:t>
            </w:r>
          </w:p>
        </w:tc>
      </w:tr>
      <w:tr w:rsidR="0044404F">
        <w:trPr>
          <w:trHeight w:val="305"/>
        </w:trPr>
        <w:tc>
          <w:tcPr>
            <w:tcW w:w="1368" w:type="dxa"/>
            <w:vMerge w:val="restart"/>
            <w:vAlign w:val="center"/>
          </w:tcPr>
          <w:p w:rsidR="0044404F" w:rsidRDefault="00C3267E">
            <w:pPr>
              <w:spacing w:line="300" w:lineRule="exact"/>
              <w:jc w:val="center"/>
              <w:rPr>
                <w:rFonts w:ascii="宋体" w:hAnsi="宋体"/>
                <w:szCs w:val="21"/>
              </w:rPr>
            </w:pPr>
            <w:r>
              <w:rPr>
                <w:rFonts w:ascii="宋体" w:hAnsi="宋体" w:hint="eastAsia"/>
                <w:szCs w:val="21"/>
              </w:rPr>
              <w:t>高起专</w:t>
            </w: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航海技术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轮机工程技术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船舶工程技术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机电一体化技术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现代物流管理</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旅游管理</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cs="Arial"/>
                <w:szCs w:val="21"/>
              </w:rPr>
              <w:t>港口与航运管理</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大数据技术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函授</w:t>
            </w:r>
          </w:p>
        </w:tc>
        <w:tc>
          <w:tcPr>
            <w:tcW w:w="3060" w:type="dxa"/>
          </w:tcPr>
          <w:p w:rsidR="0044404F" w:rsidRDefault="00C3267E">
            <w:pP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食品检验检测技术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函授</w:t>
            </w:r>
          </w:p>
        </w:tc>
        <w:tc>
          <w:tcPr>
            <w:tcW w:w="3060" w:type="dxa"/>
          </w:tcPr>
          <w:p w:rsidR="0044404F" w:rsidRDefault="00C3267E">
            <w:pP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商务英语</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业余</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bl>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四、录取原则</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每年10月份下旬双休日参加全国成人高考（具体时间以省教育考试院公布为准），达到浙江省最低录取分数线的，按</w:t>
      </w:r>
      <w:r>
        <w:rPr>
          <w:rFonts w:ascii="宋体" w:hAnsi="宋体" w:cs="宋体"/>
          <w:kern w:val="0"/>
          <w:sz w:val="28"/>
          <w:szCs w:val="28"/>
        </w:rPr>
        <w:t>成绩从高分到低分择优录取</w:t>
      </w:r>
      <w:r>
        <w:rPr>
          <w:rFonts w:ascii="宋体" w:hAnsi="宋体" w:cs="宋体" w:hint="eastAsia"/>
          <w:kern w:val="0"/>
          <w:sz w:val="28"/>
          <w:szCs w:val="28"/>
        </w:rPr>
        <w:t>。年龄在25周岁以上的，年龄加分后达到浙江省最低录取分数线的，原则上予以录取。</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五、学习形式及毕业证书发放</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1、以自学与面授相结合，面授教学一般安排在双休日。如遇成人教育相关政策调整，则按调整后的政策执行。</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2、学生修满本专业教学计划规定的全部课程，成绩合格，符合毕业条件者，由浙江国际海运职业技术学院颁发经教育部电子注册的成人高等教育专科毕业证书。</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六、报名方法</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1、报名地点：</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浙江省舟山市临城新区海天大道268号；浙江省定海区环城东路20号。</w:t>
      </w:r>
    </w:p>
    <w:p w:rsidR="0044404F" w:rsidRDefault="00C3267E">
      <w:pPr>
        <w:widowControl/>
        <w:spacing w:line="300" w:lineRule="auto"/>
        <w:ind w:leftChars="200" w:left="420"/>
        <w:rPr>
          <w:rFonts w:ascii="宋体" w:hAnsi="宋体" w:cs="宋体"/>
          <w:kern w:val="0"/>
          <w:sz w:val="28"/>
          <w:szCs w:val="28"/>
        </w:rPr>
      </w:pPr>
      <w:r>
        <w:rPr>
          <w:rFonts w:ascii="宋体" w:hAnsi="宋体" w:cs="宋体" w:hint="eastAsia"/>
          <w:kern w:val="0"/>
          <w:sz w:val="28"/>
          <w:szCs w:val="28"/>
        </w:rPr>
        <w:t>报名电话：0580-2618896、2095092</w:t>
      </w:r>
    </w:p>
    <w:p w:rsidR="0044404F" w:rsidRDefault="00C3267E">
      <w:pPr>
        <w:widowControl/>
        <w:spacing w:line="300" w:lineRule="auto"/>
        <w:ind w:left="420"/>
        <w:rPr>
          <w:rFonts w:ascii="宋体" w:hAnsi="宋体" w:cs="宋体"/>
          <w:kern w:val="0"/>
          <w:sz w:val="28"/>
          <w:szCs w:val="28"/>
        </w:rPr>
      </w:pPr>
      <w:r>
        <w:rPr>
          <w:rFonts w:ascii="宋体" w:hAnsi="宋体" w:cs="宋体" w:hint="eastAsia"/>
          <w:kern w:val="0"/>
          <w:sz w:val="28"/>
          <w:szCs w:val="28"/>
        </w:rPr>
        <w:t>2、报名材料：请携带本人身份证、学历证书原件及复印件1份、本人近期蓝底免冠二寸照2张。</w:t>
      </w:r>
    </w:p>
    <w:p w:rsidR="0044404F" w:rsidRDefault="00C3267E">
      <w:pPr>
        <w:widowControl/>
        <w:spacing w:line="300" w:lineRule="auto"/>
        <w:ind w:left="420"/>
        <w:rPr>
          <w:rFonts w:ascii="宋体" w:hAnsi="宋体" w:cs="宋体"/>
          <w:kern w:val="0"/>
          <w:sz w:val="28"/>
          <w:szCs w:val="28"/>
        </w:rPr>
      </w:pPr>
      <w:r>
        <w:rPr>
          <w:rFonts w:ascii="宋体" w:hAnsi="宋体" w:cs="宋体" w:hint="eastAsia"/>
          <w:kern w:val="0"/>
          <w:sz w:val="28"/>
          <w:szCs w:val="28"/>
        </w:rPr>
        <w:t>3、报名时间：即日起至2021年9月初</w:t>
      </w:r>
    </w:p>
    <w:p w:rsidR="0044404F" w:rsidRDefault="00C3267E">
      <w:pPr>
        <w:widowControl/>
        <w:spacing w:line="300" w:lineRule="auto"/>
        <w:ind w:left="420"/>
        <w:rPr>
          <w:rFonts w:ascii="宋体" w:hAnsi="宋体" w:cs="宋体"/>
          <w:kern w:val="0"/>
          <w:sz w:val="28"/>
          <w:szCs w:val="28"/>
        </w:rPr>
      </w:pPr>
      <w:r>
        <w:rPr>
          <w:rFonts w:ascii="宋体" w:hAnsi="宋体" w:cs="宋体" w:hint="eastAsia"/>
          <w:kern w:val="0"/>
          <w:sz w:val="28"/>
          <w:szCs w:val="28"/>
        </w:rPr>
        <w:t>4、学校网址：http://www.zimc.cn</w:t>
      </w:r>
    </w:p>
    <w:p w:rsidR="0044404F" w:rsidRDefault="0044404F">
      <w:pPr>
        <w:widowControl/>
        <w:spacing w:line="300" w:lineRule="auto"/>
        <w:rPr>
          <w:rFonts w:ascii="宋体" w:hAnsi="宋体" w:cs="宋体"/>
          <w:kern w:val="0"/>
          <w:sz w:val="28"/>
          <w:szCs w:val="28"/>
        </w:rPr>
      </w:pPr>
    </w:p>
    <w:p w:rsidR="0044404F" w:rsidRDefault="0044404F">
      <w:pPr>
        <w:widowControl/>
        <w:spacing w:before="100" w:beforeAutospacing="1" w:after="100" w:afterAutospacing="1" w:line="300" w:lineRule="exact"/>
        <w:rPr>
          <w:rFonts w:ascii="楷体_GB2312" w:eastAsia="楷体_GB2312" w:hAnsi="宋体" w:cs="宋体"/>
          <w:kern w:val="0"/>
          <w:sz w:val="28"/>
          <w:szCs w:val="28"/>
        </w:rPr>
      </w:pPr>
    </w:p>
    <w:p w:rsidR="0044404F" w:rsidRDefault="0044404F">
      <w:pPr>
        <w:spacing w:line="300" w:lineRule="exact"/>
        <w:rPr>
          <w:rFonts w:ascii="楷体_GB2312" w:eastAsia="楷体_GB2312" w:hAnsi="Verdana"/>
          <w:color w:val="333333"/>
          <w:sz w:val="28"/>
          <w:szCs w:val="28"/>
        </w:rPr>
      </w:pPr>
    </w:p>
    <w:sectPr w:rsidR="0044404F" w:rsidSect="0044404F">
      <w:headerReference w:type="default" r:id="rId7"/>
      <w:footerReference w:type="even" r:id="rId8"/>
      <w:footerReference w:type="default" r:id="rId9"/>
      <w:pgSz w:w="11906" w:h="16838"/>
      <w:pgMar w:top="1304" w:right="1701" w:bottom="124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26F" w:rsidRDefault="00F4426F" w:rsidP="0044404F">
      <w:r>
        <w:separator/>
      </w:r>
    </w:p>
  </w:endnote>
  <w:endnote w:type="continuationSeparator" w:id="0">
    <w:p w:rsidR="00F4426F" w:rsidRDefault="00F4426F" w:rsidP="00444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F" w:rsidRDefault="000B5E49">
    <w:pPr>
      <w:pStyle w:val="a5"/>
      <w:framePr w:wrap="around" w:vAnchor="text" w:hAnchor="margin" w:xAlign="center" w:y="1"/>
      <w:rPr>
        <w:rStyle w:val="aa"/>
      </w:rPr>
    </w:pPr>
    <w:r>
      <w:fldChar w:fldCharType="begin"/>
    </w:r>
    <w:r w:rsidR="00C3267E">
      <w:rPr>
        <w:rStyle w:val="aa"/>
      </w:rPr>
      <w:instrText xml:space="preserve">PAGE  </w:instrText>
    </w:r>
    <w:r>
      <w:fldChar w:fldCharType="end"/>
    </w:r>
  </w:p>
  <w:p w:rsidR="0044404F" w:rsidRDefault="0044404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F" w:rsidRDefault="000B5E49">
    <w:pPr>
      <w:pStyle w:val="a5"/>
      <w:framePr w:wrap="around" w:vAnchor="text" w:hAnchor="margin" w:xAlign="center" w:y="1"/>
      <w:rPr>
        <w:rStyle w:val="aa"/>
      </w:rPr>
    </w:pPr>
    <w:r>
      <w:fldChar w:fldCharType="begin"/>
    </w:r>
    <w:r w:rsidR="00C3267E">
      <w:rPr>
        <w:rStyle w:val="aa"/>
      </w:rPr>
      <w:instrText xml:space="preserve">PAGE  </w:instrText>
    </w:r>
    <w:r>
      <w:fldChar w:fldCharType="separate"/>
    </w:r>
    <w:r w:rsidR="0060693F">
      <w:rPr>
        <w:rStyle w:val="aa"/>
        <w:noProof/>
      </w:rPr>
      <w:t>1</w:t>
    </w:r>
    <w:r>
      <w:fldChar w:fldCharType="end"/>
    </w:r>
  </w:p>
  <w:p w:rsidR="0044404F" w:rsidRDefault="004440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26F" w:rsidRDefault="00F4426F" w:rsidP="0044404F">
      <w:r>
        <w:separator/>
      </w:r>
    </w:p>
  </w:footnote>
  <w:footnote w:type="continuationSeparator" w:id="0">
    <w:p w:rsidR="00F4426F" w:rsidRDefault="00F4426F" w:rsidP="00444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F" w:rsidRDefault="0044404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69AD"/>
    <w:rsid w:val="0004757D"/>
    <w:rsid w:val="000500EE"/>
    <w:rsid w:val="00067F83"/>
    <w:rsid w:val="00070C97"/>
    <w:rsid w:val="00073D2A"/>
    <w:rsid w:val="00074E76"/>
    <w:rsid w:val="000A1CD5"/>
    <w:rsid w:val="000B29C0"/>
    <w:rsid w:val="000B5E49"/>
    <w:rsid w:val="000B6CA2"/>
    <w:rsid w:val="000C1315"/>
    <w:rsid w:val="000C5094"/>
    <w:rsid w:val="000D2D7A"/>
    <w:rsid w:val="000D32F2"/>
    <w:rsid w:val="000E58D6"/>
    <w:rsid w:val="000F6492"/>
    <w:rsid w:val="00102736"/>
    <w:rsid w:val="0014427C"/>
    <w:rsid w:val="00147F48"/>
    <w:rsid w:val="00153B2C"/>
    <w:rsid w:val="001811DD"/>
    <w:rsid w:val="00197650"/>
    <w:rsid w:val="001A34AB"/>
    <w:rsid w:val="001E716A"/>
    <w:rsid w:val="00202016"/>
    <w:rsid w:val="00204149"/>
    <w:rsid w:val="00205922"/>
    <w:rsid w:val="00215982"/>
    <w:rsid w:val="002228EA"/>
    <w:rsid w:val="002400A6"/>
    <w:rsid w:val="00250C02"/>
    <w:rsid w:val="00253958"/>
    <w:rsid w:val="00266C5C"/>
    <w:rsid w:val="002716EC"/>
    <w:rsid w:val="00282AB3"/>
    <w:rsid w:val="00285F7C"/>
    <w:rsid w:val="002959F5"/>
    <w:rsid w:val="002A55AB"/>
    <w:rsid w:val="002A65DB"/>
    <w:rsid w:val="002B06CA"/>
    <w:rsid w:val="002B23FC"/>
    <w:rsid w:val="002C3052"/>
    <w:rsid w:val="002D1FFE"/>
    <w:rsid w:val="00301897"/>
    <w:rsid w:val="003100FB"/>
    <w:rsid w:val="003342C9"/>
    <w:rsid w:val="00335D59"/>
    <w:rsid w:val="003463E0"/>
    <w:rsid w:val="003A08F5"/>
    <w:rsid w:val="003A4F96"/>
    <w:rsid w:val="003C0D40"/>
    <w:rsid w:val="003D7C41"/>
    <w:rsid w:val="003F336F"/>
    <w:rsid w:val="00421104"/>
    <w:rsid w:val="004266B4"/>
    <w:rsid w:val="0044404F"/>
    <w:rsid w:val="00462AE4"/>
    <w:rsid w:val="00476760"/>
    <w:rsid w:val="00481B10"/>
    <w:rsid w:val="004938E8"/>
    <w:rsid w:val="004C38B8"/>
    <w:rsid w:val="004C4870"/>
    <w:rsid w:val="004D161B"/>
    <w:rsid w:val="004D4886"/>
    <w:rsid w:val="004E5DFF"/>
    <w:rsid w:val="004F64BA"/>
    <w:rsid w:val="00504C9D"/>
    <w:rsid w:val="00515A22"/>
    <w:rsid w:val="005375D5"/>
    <w:rsid w:val="00544415"/>
    <w:rsid w:val="0055617E"/>
    <w:rsid w:val="00563EA6"/>
    <w:rsid w:val="00583C5A"/>
    <w:rsid w:val="005874F4"/>
    <w:rsid w:val="005A0A3D"/>
    <w:rsid w:val="005A354F"/>
    <w:rsid w:val="005A52C3"/>
    <w:rsid w:val="005C1CA5"/>
    <w:rsid w:val="005D445B"/>
    <w:rsid w:val="005F7AB1"/>
    <w:rsid w:val="0060254A"/>
    <w:rsid w:val="0060693F"/>
    <w:rsid w:val="00606DCB"/>
    <w:rsid w:val="0063281F"/>
    <w:rsid w:val="006349CE"/>
    <w:rsid w:val="00635DDC"/>
    <w:rsid w:val="00646691"/>
    <w:rsid w:val="00650534"/>
    <w:rsid w:val="00652EDD"/>
    <w:rsid w:val="00667E45"/>
    <w:rsid w:val="006779F8"/>
    <w:rsid w:val="00691F27"/>
    <w:rsid w:val="006965E9"/>
    <w:rsid w:val="006B189A"/>
    <w:rsid w:val="006C0E80"/>
    <w:rsid w:val="006C2613"/>
    <w:rsid w:val="006D41BC"/>
    <w:rsid w:val="006E4711"/>
    <w:rsid w:val="00726AAA"/>
    <w:rsid w:val="00737CD4"/>
    <w:rsid w:val="00746981"/>
    <w:rsid w:val="007475A1"/>
    <w:rsid w:val="00763DCE"/>
    <w:rsid w:val="00794F87"/>
    <w:rsid w:val="00796905"/>
    <w:rsid w:val="007B03EB"/>
    <w:rsid w:val="007B458A"/>
    <w:rsid w:val="007B4DE1"/>
    <w:rsid w:val="007B6ECA"/>
    <w:rsid w:val="007C033A"/>
    <w:rsid w:val="007E4204"/>
    <w:rsid w:val="007F7295"/>
    <w:rsid w:val="008109E5"/>
    <w:rsid w:val="0081421C"/>
    <w:rsid w:val="00821442"/>
    <w:rsid w:val="008269AD"/>
    <w:rsid w:val="00866502"/>
    <w:rsid w:val="00871E7A"/>
    <w:rsid w:val="00881805"/>
    <w:rsid w:val="008A57BE"/>
    <w:rsid w:val="008C5D75"/>
    <w:rsid w:val="008C7384"/>
    <w:rsid w:val="008D0BE0"/>
    <w:rsid w:val="008E7B74"/>
    <w:rsid w:val="008F18CE"/>
    <w:rsid w:val="00906FE7"/>
    <w:rsid w:val="009271CA"/>
    <w:rsid w:val="009363B5"/>
    <w:rsid w:val="00941F39"/>
    <w:rsid w:val="00947103"/>
    <w:rsid w:val="00947440"/>
    <w:rsid w:val="00961141"/>
    <w:rsid w:val="00973606"/>
    <w:rsid w:val="00994785"/>
    <w:rsid w:val="009A7705"/>
    <w:rsid w:val="009C3881"/>
    <w:rsid w:val="009D314A"/>
    <w:rsid w:val="009F0058"/>
    <w:rsid w:val="00A13263"/>
    <w:rsid w:val="00A134B2"/>
    <w:rsid w:val="00A1521B"/>
    <w:rsid w:val="00A27694"/>
    <w:rsid w:val="00A44393"/>
    <w:rsid w:val="00A74B30"/>
    <w:rsid w:val="00AA6953"/>
    <w:rsid w:val="00AB40E4"/>
    <w:rsid w:val="00AC5454"/>
    <w:rsid w:val="00AD4281"/>
    <w:rsid w:val="00AF4B50"/>
    <w:rsid w:val="00B00521"/>
    <w:rsid w:val="00B03A22"/>
    <w:rsid w:val="00B132DF"/>
    <w:rsid w:val="00B40FE0"/>
    <w:rsid w:val="00B46E44"/>
    <w:rsid w:val="00B52E3D"/>
    <w:rsid w:val="00B5496B"/>
    <w:rsid w:val="00B674B4"/>
    <w:rsid w:val="00BE6532"/>
    <w:rsid w:val="00C1342D"/>
    <w:rsid w:val="00C1721C"/>
    <w:rsid w:val="00C26564"/>
    <w:rsid w:val="00C3267E"/>
    <w:rsid w:val="00C65A46"/>
    <w:rsid w:val="00C66C41"/>
    <w:rsid w:val="00CC1B6A"/>
    <w:rsid w:val="00CF2AB3"/>
    <w:rsid w:val="00D2487F"/>
    <w:rsid w:val="00D47C65"/>
    <w:rsid w:val="00D54E50"/>
    <w:rsid w:val="00D81276"/>
    <w:rsid w:val="00D82D77"/>
    <w:rsid w:val="00D96B21"/>
    <w:rsid w:val="00D97C23"/>
    <w:rsid w:val="00DB7240"/>
    <w:rsid w:val="00DD0253"/>
    <w:rsid w:val="00DD08DB"/>
    <w:rsid w:val="00DD551A"/>
    <w:rsid w:val="00DE3E91"/>
    <w:rsid w:val="00E0793C"/>
    <w:rsid w:val="00E25463"/>
    <w:rsid w:val="00E25AC4"/>
    <w:rsid w:val="00E34203"/>
    <w:rsid w:val="00E4377E"/>
    <w:rsid w:val="00E4457A"/>
    <w:rsid w:val="00E7090A"/>
    <w:rsid w:val="00E940FD"/>
    <w:rsid w:val="00EB4E17"/>
    <w:rsid w:val="00EC2247"/>
    <w:rsid w:val="00ED22DB"/>
    <w:rsid w:val="00EE5124"/>
    <w:rsid w:val="00EF3788"/>
    <w:rsid w:val="00F06F9E"/>
    <w:rsid w:val="00F117C5"/>
    <w:rsid w:val="00F11986"/>
    <w:rsid w:val="00F23445"/>
    <w:rsid w:val="00F4426F"/>
    <w:rsid w:val="00F50941"/>
    <w:rsid w:val="00F650BB"/>
    <w:rsid w:val="00F712EC"/>
    <w:rsid w:val="00F96BC6"/>
    <w:rsid w:val="00FA3AC9"/>
    <w:rsid w:val="00FA7F3C"/>
    <w:rsid w:val="00FE4A80"/>
    <w:rsid w:val="00FE7F56"/>
    <w:rsid w:val="081812B9"/>
    <w:rsid w:val="0C3D5ABB"/>
    <w:rsid w:val="0E8B3F26"/>
    <w:rsid w:val="1A69078F"/>
    <w:rsid w:val="53723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4404F"/>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44404F"/>
    <w:rPr>
      <w:sz w:val="18"/>
      <w:szCs w:val="18"/>
    </w:rPr>
  </w:style>
  <w:style w:type="paragraph" w:styleId="a5">
    <w:name w:val="footer"/>
    <w:basedOn w:val="a"/>
    <w:rsid w:val="0044404F"/>
    <w:pPr>
      <w:tabs>
        <w:tab w:val="center" w:pos="4153"/>
        <w:tab w:val="right" w:pos="8306"/>
      </w:tabs>
      <w:snapToGrid w:val="0"/>
      <w:jc w:val="left"/>
    </w:pPr>
    <w:rPr>
      <w:sz w:val="18"/>
      <w:szCs w:val="18"/>
    </w:rPr>
  </w:style>
  <w:style w:type="paragraph" w:styleId="a6">
    <w:name w:val="header"/>
    <w:basedOn w:val="a"/>
    <w:rsid w:val="0044404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4404F"/>
    <w:pPr>
      <w:widowControl/>
      <w:spacing w:before="100" w:beforeAutospacing="1" w:after="100" w:afterAutospacing="1"/>
      <w:jc w:val="left"/>
    </w:pPr>
    <w:rPr>
      <w:rFonts w:ascii="宋体" w:hAnsi="宋体" w:cs="宋体"/>
      <w:kern w:val="0"/>
      <w:sz w:val="24"/>
    </w:rPr>
  </w:style>
  <w:style w:type="table" w:styleId="a8">
    <w:name w:val="Table Grid"/>
    <w:basedOn w:val="a1"/>
    <w:qFormat/>
    <w:rsid w:val="004440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44404F"/>
    <w:rPr>
      <w:b/>
      <w:bCs/>
    </w:rPr>
  </w:style>
  <w:style w:type="character" w:styleId="aa">
    <w:name w:val="page number"/>
    <w:basedOn w:val="a0"/>
    <w:qFormat/>
    <w:rsid w:val="0044404F"/>
  </w:style>
  <w:style w:type="character" w:customStyle="1" w:styleId="title7">
    <w:name w:val="title7"/>
    <w:basedOn w:val="a0"/>
    <w:rsid w:val="0044404F"/>
    <w:rPr>
      <w:b/>
      <w:bCs/>
      <w:sz w:val="24"/>
      <w:szCs w:val="24"/>
    </w:rPr>
  </w:style>
  <w:style w:type="character" w:customStyle="1" w:styleId="zw141">
    <w:name w:val="zw141"/>
    <w:basedOn w:val="a0"/>
    <w:rsid w:val="0044404F"/>
    <w:rPr>
      <w:rFonts w:ascii="Arial" w:hAnsi="Arial" w:cs="Arial" w:hint="default"/>
      <w:color w:val="333333"/>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205</Words>
  <Characters>1171</Characters>
  <Application>Microsoft Office Word</Application>
  <DocSecurity>0</DocSecurity>
  <Lines>9</Lines>
  <Paragraphs>2</Paragraphs>
  <ScaleCrop>false</ScaleCrop>
  <Company>Microsoft</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浙江国际海运职业技术学院2012成人教育招生简章</dc:title>
  <dc:creator>章靖</dc:creator>
  <cp:lastModifiedBy>wus</cp:lastModifiedBy>
  <cp:revision>11</cp:revision>
  <cp:lastPrinted>2012-02-17T07:01:00Z</cp:lastPrinted>
  <dcterms:created xsi:type="dcterms:W3CDTF">2021-06-29T01:05:00Z</dcterms:created>
  <dcterms:modified xsi:type="dcterms:W3CDTF">2021-10-26T01:19:00Z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ED898648CC4649B4BAEE49D5BE8B1039</vt:lpwstr>
  </property>
</Properties>
</file>