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杭州万向职业技术学院202</w:t>
      </w:r>
      <w:r>
        <w:rPr>
          <w:rFonts w:hint="eastAsia" w:asciiTheme="minorEastAsia" w:hAnsiTheme="minorEastAsia" w:cstheme="minorEastAsia"/>
          <w:b/>
          <w:bCs/>
          <w:sz w:val="36"/>
          <w:szCs w:val="36"/>
          <w:lang w:val="en-US" w:eastAsia="zh-CN"/>
        </w:rPr>
        <w:t>1</w:t>
      </w:r>
      <w:r>
        <w:rPr>
          <w:rFonts w:hint="eastAsia" w:asciiTheme="minorEastAsia" w:hAnsiTheme="minorEastAsia" w:cstheme="minorEastAsia"/>
          <w:b/>
          <w:bCs/>
          <w:sz w:val="36"/>
          <w:szCs w:val="36"/>
        </w:rPr>
        <w:t>年成人高等教育招生章程</w:t>
      </w:r>
    </w:p>
    <w:p>
      <w:pPr>
        <w:shd w:val="solid" w:color="FFFFFF" w:fill="auto"/>
        <w:autoSpaceDN w:val="0"/>
        <w:spacing w:line="480" w:lineRule="exact"/>
        <w:rPr>
          <w:rFonts w:asciiTheme="minorEastAsia" w:hAnsiTheme="minorEastAsia" w:cstheme="minorEastAsia"/>
          <w:b/>
          <w:bCs/>
          <w:sz w:val="28"/>
          <w:szCs w:val="28"/>
        </w:rPr>
      </w:pPr>
    </w:p>
    <w:p>
      <w:pPr>
        <w:shd w:val="solid" w:color="FFFFFF" w:fill="auto"/>
        <w:autoSpaceDN w:val="0"/>
        <w:spacing w:line="480" w:lineRule="exact"/>
        <w:rPr>
          <w:rFonts w:asciiTheme="minorEastAsia" w:hAnsiTheme="minorEastAsia" w:cstheme="minorEastAsia"/>
          <w:sz w:val="28"/>
          <w:szCs w:val="28"/>
        </w:rPr>
      </w:pPr>
      <w:r>
        <w:rPr>
          <w:rFonts w:hint="eastAsia" w:asciiTheme="minorEastAsia" w:hAnsiTheme="minorEastAsia" w:cstheme="minorEastAsia"/>
          <w:b/>
          <w:bCs/>
          <w:sz w:val="28"/>
          <w:szCs w:val="28"/>
        </w:rPr>
        <w:t>1.高校全称：</w:t>
      </w:r>
      <w:r>
        <w:rPr>
          <w:rFonts w:hint="eastAsia" w:asciiTheme="minorEastAsia" w:hAnsiTheme="minorEastAsia" w:cstheme="minorEastAsia"/>
          <w:sz w:val="28"/>
          <w:szCs w:val="28"/>
        </w:rPr>
        <w:t xml:space="preserve">杭州万向职业技术学院 </w:t>
      </w:r>
    </w:p>
    <w:p>
      <w:pPr>
        <w:shd w:val="solid" w:color="FFFFFF" w:fill="auto"/>
        <w:autoSpaceDN w:val="0"/>
        <w:spacing w:line="480" w:lineRule="exact"/>
        <w:rPr>
          <w:rFonts w:asciiTheme="minorEastAsia" w:hAnsiTheme="minorEastAsia" w:cstheme="minorEastAsia"/>
          <w:sz w:val="28"/>
          <w:szCs w:val="28"/>
        </w:rPr>
      </w:pPr>
      <w:r>
        <w:rPr>
          <w:rFonts w:hint="eastAsia" w:asciiTheme="minorEastAsia" w:hAnsiTheme="minorEastAsia" w:cstheme="minorEastAsia"/>
          <w:b/>
          <w:bCs/>
          <w:sz w:val="28"/>
          <w:szCs w:val="28"/>
        </w:rPr>
        <w:t>2.院校省代码：</w:t>
      </w:r>
      <w:r>
        <w:rPr>
          <w:rFonts w:hint="eastAsia" w:asciiTheme="minorEastAsia" w:hAnsiTheme="minorEastAsia" w:cstheme="minorEastAsia"/>
          <w:sz w:val="28"/>
          <w:szCs w:val="28"/>
        </w:rPr>
        <w:t>416</w:t>
      </w:r>
    </w:p>
    <w:p>
      <w:pPr>
        <w:shd w:val="solid" w:color="FFFFFF" w:fill="auto"/>
        <w:autoSpaceDN w:val="0"/>
        <w:spacing w:line="480" w:lineRule="exact"/>
        <w:rPr>
          <w:rFonts w:asciiTheme="minorEastAsia" w:hAnsiTheme="minorEastAsia" w:cstheme="minorEastAsia"/>
          <w:sz w:val="28"/>
          <w:szCs w:val="28"/>
        </w:rPr>
      </w:pPr>
      <w:r>
        <w:rPr>
          <w:rFonts w:hint="eastAsia" w:asciiTheme="minorEastAsia" w:hAnsiTheme="minorEastAsia" w:cstheme="minorEastAsia"/>
          <w:b/>
          <w:bCs/>
          <w:sz w:val="28"/>
          <w:szCs w:val="28"/>
        </w:rPr>
        <w:t>3.学校地址：</w:t>
      </w:r>
      <w:r>
        <w:rPr>
          <w:rFonts w:hint="eastAsia" w:asciiTheme="minorEastAsia" w:hAnsiTheme="minorEastAsia" w:cstheme="minorEastAsia"/>
          <w:sz w:val="28"/>
          <w:szCs w:val="28"/>
        </w:rPr>
        <w:t>杭州市西湖区</w:t>
      </w:r>
      <w:bookmarkStart w:id="0" w:name="_GoBack"/>
      <w:bookmarkEnd w:id="0"/>
      <w:r>
        <w:rPr>
          <w:rFonts w:hint="eastAsia" w:asciiTheme="minorEastAsia" w:hAnsiTheme="minorEastAsia" w:cstheme="minorEastAsia"/>
          <w:sz w:val="28"/>
          <w:szCs w:val="28"/>
          <w:lang w:val="en-US" w:eastAsia="zh-CN"/>
        </w:rPr>
        <w:t>花蒋路3</w:t>
      </w:r>
      <w:r>
        <w:rPr>
          <w:rFonts w:hint="eastAsia" w:asciiTheme="minorEastAsia" w:hAnsiTheme="minorEastAsia" w:cstheme="minorEastAsia"/>
          <w:sz w:val="28"/>
          <w:szCs w:val="28"/>
        </w:rPr>
        <w:t>号</w:t>
      </w:r>
    </w:p>
    <w:p>
      <w:pPr>
        <w:shd w:val="solid" w:color="FFFFFF" w:fill="auto"/>
        <w:autoSpaceDN w:val="0"/>
        <w:spacing w:line="480" w:lineRule="exact"/>
        <w:rPr>
          <w:rFonts w:asciiTheme="minorEastAsia" w:hAnsiTheme="minorEastAsia" w:cstheme="minorEastAsia"/>
          <w:sz w:val="28"/>
          <w:szCs w:val="28"/>
        </w:rPr>
      </w:pPr>
      <w:r>
        <w:rPr>
          <w:rFonts w:hint="eastAsia" w:asciiTheme="minorEastAsia" w:hAnsiTheme="minorEastAsia" w:cstheme="minorEastAsia"/>
          <w:b/>
          <w:bCs/>
          <w:sz w:val="28"/>
          <w:szCs w:val="28"/>
        </w:rPr>
        <w:t>4.办学性质：</w:t>
      </w:r>
      <w:r>
        <w:rPr>
          <w:rFonts w:hint="eastAsia" w:asciiTheme="minorEastAsia" w:hAnsiTheme="minorEastAsia" w:cstheme="minorEastAsia"/>
          <w:sz w:val="28"/>
          <w:szCs w:val="28"/>
        </w:rPr>
        <w:t>民办</w:t>
      </w:r>
    </w:p>
    <w:p>
      <w:pPr>
        <w:shd w:val="solid" w:color="FFFFFF" w:fill="auto"/>
        <w:autoSpaceDN w:val="0"/>
        <w:spacing w:line="480" w:lineRule="exact"/>
        <w:rPr>
          <w:rFonts w:asciiTheme="minorEastAsia" w:hAnsiTheme="minorEastAsia" w:cstheme="minorEastAsia"/>
          <w:sz w:val="28"/>
          <w:szCs w:val="28"/>
        </w:rPr>
      </w:pPr>
      <w:r>
        <w:rPr>
          <w:rFonts w:hint="eastAsia" w:asciiTheme="minorEastAsia" w:hAnsiTheme="minorEastAsia" w:cstheme="minorEastAsia"/>
          <w:b/>
          <w:bCs/>
          <w:sz w:val="28"/>
          <w:szCs w:val="28"/>
        </w:rPr>
        <w:t>5.办学层次：</w:t>
      </w:r>
      <w:r>
        <w:rPr>
          <w:rFonts w:hint="eastAsia" w:asciiTheme="minorEastAsia" w:hAnsiTheme="minorEastAsia" w:cstheme="minorEastAsia"/>
          <w:sz w:val="28"/>
          <w:szCs w:val="28"/>
        </w:rPr>
        <w:t>高职（专科）</w:t>
      </w:r>
    </w:p>
    <w:p>
      <w:pPr>
        <w:shd w:val="solid" w:color="FFFFFF" w:fill="auto"/>
        <w:autoSpaceDN w:val="0"/>
        <w:spacing w:line="480" w:lineRule="exact"/>
        <w:rPr>
          <w:rFonts w:asciiTheme="minorEastAsia" w:hAnsiTheme="minorEastAsia" w:cstheme="minorEastAsia"/>
          <w:sz w:val="28"/>
          <w:szCs w:val="28"/>
        </w:rPr>
      </w:pPr>
      <w:r>
        <w:rPr>
          <w:rFonts w:hint="eastAsia" w:asciiTheme="minorEastAsia" w:hAnsiTheme="minorEastAsia" w:cstheme="minorEastAsia"/>
          <w:b/>
          <w:bCs/>
          <w:sz w:val="28"/>
          <w:szCs w:val="28"/>
        </w:rPr>
        <w:t>6.招生范围：</w:t>
      </w:r>
      <w:r>
        <w:rPr>
          <w:rFonts w:hint="eastAsia" w:asciiTheme="minorEastAsia" w:hAnsiTheme="minorEastAsia" w:cstheme="minorEastAsia"/>
          <w:sz w:val="28"/>
          <w:szCs w:val="28"/>
        </w:rPr>
        <w:t xml:space="preserve">全省 </w:t>
      </w:r>
    </w:p>
    <w:p>
      <w:pPr>
        <w:shd w:val="solid" w:color="FFFFFF" w:fill="auto"/>
        <w:autoSpaceDN w:val="0"/>
        <w:spacing w:line="480" w:lineRule="exact"/>
        <w:rPr>
          <w:rFonts w:asciiTheme="minorEastAsia" w:hAnsiTheme="minorEastAsia" w:cstheme="minorEastAsia"/>
          <w:sz w:val="28"/>
          <w:szCs w:val="28"/>
        </w:rPr>
      </w:pPr>
      <w:r>
        <w:rPr>
          <w:rFonts w:hint="eastAsia" w:asciiTheme="minorEastAsia" w:hAnsiTheme="minorEastAsia" w:cstheme="minorEastAsia"/>
          <w:b/>
          <w:bCs/>
          <w:sz w:val="28"/>
          <w:szCs w:val="28"/>
        </w:rPr>
        <w:t>7.学习形式、学制：</w:t>
      </w:r>
      <w:r>
        <w:rPr>
          <w:rFonts w:hint="eastAsia" w:asciiTheme="minorEastAsia" w:hAnsiTheme="minorEastAsia" w:cstheme="minorEastAsia"/>
          <w:sz w:val="28"/>
          <w:szCs w:val="28"/>
        </w:rPr>
        <w:br w:type="textWrapping"/>
      </w:r>
      <w:r>
        <w:rPr>
          <w:rFonts w:hint="eastAsia" w:asciiTheme="minorEastAsia" w:hAnsiTheme="minorEastAsia" w:cstheme="minorEastAsia"/>
          <w:sz w:val="28"/>
          <w:szCs w:val="28"/>
        </w:rPr>
        <w:t xml:space="preserve">  (1)学习形式：业余、函授</w:t>
      </w:r>
      <w:r>
        <w:rPr>
          <w:rFonts w:hint="eastAsia" w:asciiTheme="minorEastAsia" w:hAnsiTheme="minorEastAsia" w:cstheme="minorEastAsia"/>
          <w:sz w:val="28"/>
          <w:szCs w:val="28"/>
        </w:rPr>
        <w:br w:type="textWrapping"/>
      </w:r>
      <w:r>
        <w:rPr>
          <w:rFonts w:hint="eastAsia" w:asciiTheme="minorEastAsia" w:hAnsiTheme="minorEastAsia" w:cstheme="minorEastAsia"/>
          <w:sz w:val="28"/>
          <w:szCs w:val="28"/>
        </w:rPr>
        <w:t xml:space="preserve">  (2)学制：2.5年</w:t>
      </w:r>
    </w:p>
    <w:p>
      <w:pPr>
        <w:shd w:val="solid" w:color="FFFFFF" w:fill="auto"/>
        <w:autoSpaceDN w:val="0"/>
        <w:spacing w:line="480" w:lineRule="exact"/>
        <w:rPr>
          <w:rFonts w:asciiTheme="minorEastAsia" w:hAnsiTheme="minorEastAsia" w:cstheme="minorEastAsia"/>
          <w:sz w:val="28"/>
          <w:szCs w:val="28"/>
        </w:rPr>
      </w:pPr>
      <w:r>
        <w:rPr>
          <w:rFonts w:hint="eastAsia" w:asciiTheme="minorEastAsia" w:hAnsiTheme="minorEastAsia" w:cstheme="minorEastAsia"/>
          <w:b/>
          <w:bCs/>
          <w:sz w:val="28"/>
          <w:szCs w:val="28"/>
        </w:rPr>
        <w:t>8.办学类型：</w:t>
      </w:r>
      <w:r>
        <w:rPr>
          <w:rFonts w:hint="eastAsia" w:asciiTheme="minorEastAsia" w:hAnsiTheme="minorEastAsia" w:cstheme="minorEastAsia"/>
          <w:sz w:val="28"/>
          <w:szCs w:val="28"/>
        </w:rPr>
        <w:t>成人高等教育</w:t>
      </w:r>
    </w:p>
    <w:p>
      <w:pPr>
        <w:shd w:val="solid" w:color="FFFFFF" w:fill="auto"/>
        <w:autoSpaceDN w:val="0"/>
        <w:spacing w:line="48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9.颁发学历证书的学校名称、证书种类及学历层次:</w:t>
      </w:r>
    </w:p>
    <w:p>
      <w:pPr>
        <w:pStyle w:val="5"/>
        <w:spacing w:before="0" w:beforeAutospacing="0" w:after="0" w:afterAutospacing="0" w:line="48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sz w:val="28"/>
          <w:szCs w:val="28"/>
        </w:rPr>
        <w:t>杭州万向职业技术学院，成人高等教育，专科层次。</w:t>
      </w:r>
    </w:p>
    <w:p>
      <w:pPr>
        <w:widowControl/>
        <w:wordWrap w:val="0"/>
        <w:spacing w:line="480" w:lineRule="exact"/>
        <w:jc w:val="left"/>
        <w:rPr>
          <w:rFonts w:asciiTheme="minorEastAsia" w:hAnsiTheme="minorEastAsia" w:cstheme="minorEastAsia"/>
          <w:b/>
          <w:sz w:val="28"/>
          <w:szCs w:val="28"/>
        </w:rPr>
      </w:pPr>
      <w:r>
        <w:rPr>
          <w:rFonts w:hint="eastAsia" w:asciiTheme="minorEastAsia" w:hAnsiTheme="minorEastAsia" w:cstheme="minorEastAsia"/>
          <w:b/>
          <w:sz w:val="28"/>
          <w:szCs w:val="28"/>
        </w:rPr>
        <w:t>10.报名条件：</w:t>
      </w:r>
    </w:p>
    <w:p>
      <w:pPr>
        <w:widowControl/>
        <w:wordWrap w:val="0"/>
        <w:spacing w:line="48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考生应具有高中（含中专、职高、技校）以上的毕业文化程序或同等学力；本省户籍考生凭有效居民身份证，可在省内跨市、县报名；外省户籍考生除凭有效居民身份证外，还需凭我省固定居住证明或单位证明，在居住或工作所在地的当地招生考试机构报名。</w:t>
      </w:r>
    </w:p>
    <w:p>
      <w:pPr>
        <w:widowControl/>
        <w:wordWrap w:val="0"/>
        <w:spacing w:line="480" w:lineRule="exact"/>
        <w:jc w:val="left"/>
        <w:rPr>
          <w:rFonts w:asciiTheme="minorEastAsia" w:hAnsiTheme="minorEastAsia" w:cstheme="minorEastAsia"/>
          <w:b/>
          <w:sz w:val="28"/>
          <w:szCs w:val="28"/>
        </w:rPr>
      </w:pPr>
      <w:r>
        <w:rPr>
          <w:rFonts w:hint="eastAsia" w:asciiTheme="minorEastAsia" w:hAnsiTheme="minorEastAsia" w:cstheme="minorEastAsia"/>
          <w:b/>
          <w:sz w:val="28"/>
          <w:szCs w:val="28"/>
        </w:rPr>
        <w:t>11.报名程序：</w:t>
      </w:r>
    </w:p>
    <w:p>
      <w:pPr>
        <w:pStyle w:val="5"/>
        <w:spacing w:before="0" w:beforeAutospacing="0" w:after="0" w:afterAutospacing="0" w:line="480" w:lineRule="exact"/>
        <w:ind w:firstLine="560" w:firstLineChars="200"/>
        <w:jc w:val="left"/>
        <w:rPr>
          <w:rFonts w:asciiTheme="minorEastAsia" w:hAnsiTheme="minorEastAsia" w:cstheme="minorEastAsia"/>
          <w:bCs/>
          <w:sz w:val="28"/>
          <w:szCs w:val="28"/>
        </w:rPr>
      </w:pPr>
      <w:r>
        <w:rPr>
          <w:rFonts w:hint="eastAsia" w:asciiTheme="minorEastAsia" w:hAnsiTheme="minorEastAsia" w:cstheme="minorEastAsia"/>
          <w:bCs/>
          <w:sz w:val="28"/>
          <w:szCs w:val="28"/>
        </w:rPr>
        <w:t>网上报名和志愿确认。凡符合条件的考生，向所在地、市、县教育考试机构报名。报名时间：成人高考网上报名分为网上信息输入和现场信息确认两个阶段。第一阶段网上信息输入，一般为9月上旬，考生登陆当地省教育考试院网站（浙江省教育考试院网站地址http：//www.zjzs.net），按规定输入个人基本信息及志愿信息；第二阶段现场信息确认，时间为9月中、下旬，考生持本人有关证件、证明原件和复印件，到自己选定的报名确认点，办理报名资格审查、交费和信息确认手续。（注：具体成人高考网上报名、现场确认时间以省教育考试院网站公布为准。）</w:t>
      </w:r>
    </w:p>
    <w:p>
      <w:pPr>
        <w:pStyle w:val="5"/>
        <w:spacing w:before="0" w:beforeAutospacing="0" w:after="0" w:afterAutospacing="0" w:line="480" w:lineRule="exact"/>
        <w:ind w:firstLine="560" w:firstLineChars="200"/>
        <w:jc w:val="left"/>
        <w:rPr>
          <w:rFonts w:asciiTheme="minorEastAsia" w:hAnsiTheme="minorEastAsia" w:cstheme="minorEastAsia"/>
          <w:bCs/>
          <w:sz w:val="28"/>
          <w:szCs w:val="28"/>
        </w:rPr>
      </w:pPr>
      <w:r>
        <w:rPr>
          <w:rFonts w:hint="eastAsia" w:asciiTheme="minorEastAsia" w:hAnsiTheme="minorEastAsia" w:cstheme="minorEastAsia"/>
          <w:bCs/>
          <w:sz w:val="28"/>
          <w:szCs w:val="28"/>
        </w:rPr>
        <w:t>考试结束后，考生登录浙江省教育考试网“成人高校招生志愿填报系统”确认志愿信息。具体时间请留意浙江省教育考试网。</w:t>
      </w:r>
    </w:p>
    <w:p>
      <w:pPr>
        <w:widowControl/>
        <w:wordWrap w:val="0"/>
        <w:spacing w:line="480" w:lineRule="exact"/>
        <w:jc w:val="left"/>
        <w:rPr>
          <w:rFonts w:asciiTheme="minorEastAsia" w:hAnsiTheme="minorEastAsia" w:cstheme="minorEastAsia"/>
          <w:sz w:val="28"/>
          <w:szCs w:val="28"/>
        </w:rPr>
      </w:pPr>
      <w:r>
        <w:rPr>
          <w:rFonts w:hint="eastAsia" w:asciiTheme="minorEastAsia" w:hAnsiTheme="minorEastAsia" w:cstheme="minorEastAsia"/>
          <w:b/>
          <w:bCs/>
          <w:sz w:val="28"/>
          <w:szCs w:val="28"/>
        </w:rPr>
        <w:t>12.招生专业和入学考试科目：</w:t>
      </w:r>
    </w:p>
    <w:tbl>
      <w:tblPr>
        <w:tblStyle w:val="12"/>
        <w:tblW w:w="9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4"/>
        <w:gridCol w:w="1488"/>
        <w:gridCol w:w="1109"/>
        <w:gridCol w:w="1197"/>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2854"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rPr>
              <w:t>专业</w:t>
            </w:r>
          </w:p>
        </w:tc>
        <w:tc>
          <w:tcPr>
            <w:tcW w:w="1488"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rPr>
              <w:t>学习形式</w:t>
            </w:r>
          </w:p>
        </w:tc>
        <w:tc>
          <w:tcPr>
            <w:tcW w:w="1109"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rPr>
              <w:t>学制</w:t>
            </w:r>
          </w:p>
        </w:tc>
        <w:tc>
          <w:tcPr>
            <w:tcW w:w="1197"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rPr>
              <w:t>科类</w:t>
            </w:r>
          </w:p>
        </w:tc>
        <w:tc>
          <w:tcPr>
            <w:tcW w:w="2774"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rPr>
              <w:t>入学考试科目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854" w:type="dxa"/>
            <w:vAlign w:val="center"/>
          </w:tcPr>
          <w:p>
            <w:pPr>
              <w:widowControl/>
              <w:wordWrap w:val="0"/>
              <w:spacing w:line="48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大数据与会计</w:t>
            </w:r>
          </w:p>
        </w:tc>
        <w:tc>
          <w:tcPr>
            <w:tcW w:w="1488"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rPr>
              <w:t>业余</w:t>
            </w:r>
          </w:p>
        </w:tc>
        <w:tc>
          <w:tcPr>
            <w:tcW w:w="1109"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rPr>
              <w:t>2.5</w:t>
            </w:r>
          </w:p>
        </w:tc>
        <w:tc>
          <w:tcPr>
            <w:tcW w:w="1197"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color w:val="333333"/>
                <w:szCs w:val="21"/>
              </w:rPr>
              <w:t>文史类</w:t>
            </w:r>
          </w:p>
        </w:tc>
        <w:tc>
          <w:tcPr>
            <w:tcW w:w="2774" w:type="dxa"/>
            <w:vMerge w:val="restart"/>
            <w:vAlign w:val="center"/>
          </w:tcPr>
          <w:p>
            <w:pPr>
              <w:widowControl/>
              <w:wordWrap w:val="0"/>
              <w:spacing w:line="480" w:lineRule="exact"/>
              <w:rPr>
                <w:rFonts w:asciiTheme="minorEastAsia" w:hAnsiTheme="minorEastAsia" w:cstheme="minorEastAsia"/>
                <w:szCs w:val="21"/>
              </w:rPr>
            </w:pPr>
            <w:r>
              <w:rPr>
                <w:rFonts w:hint="eastAsia" w:asciiTheme="minorEastAsia" w:hAnsiTheme="minorEastAsia" w:cstheme="minorEastAsia"/>
                <w:color w:val="333333"/>
                <w:szCs w:val="21"/>
              </w:rPr>
              <w:t>语文、数学（文）、英语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854"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rPr>
              <w:t>工商企业管理</w:t>
            </w:r>
          </w:p>
        </w:tc>
        <w:tc>
          <w:tcPr>
            <w:tcW w:w="1488"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rPr>
              <w:t>业余</w:t>
            </w:r>
          </w:p>
        </w:tc>
        <w:tc>
          <w:tcPr>
            <w:tcW w:w="1109"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rPr>
              <w:t>2.5</w:t>
            </w:r>
          </w:p>
        </w:tc>
        <w:tc>
          <w:tcPr>
            <w:tcW w:w="1197"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color w:val="333333"/>
                <w:szCs w:val="21"/>
              </w:rPr>
              <w:t>文史类</w:t>
            </w:r>
          </w:p>
        </w:tc>
        <w:tc>
          <w:tcPr>
            <w:tcW w:w="2774" w:type="dxa"/>
            <w:vMerge w:val="continue"/>
            <w:vAlign w:val="center"/>
          </w:tcPr>
          <w:p>
            <w:pPr>
              <w:widowControl/>
              <w:wordWrap w:val="0"/>
              <w:spacing w:line="48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854" w:type="dxa"/>
            <w:vAlign w:val="center"/>
          </w:tcPr>
          <w:p>
            <w:pPr>
              <w:widowControl/>
              <w:wordWrap w:val="0"/>
              <w:spacing w:line="48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rPr>
              <w:t>酒店管理</w:t>
            </w:r>
            <w:r>
              <w:rPr>
                <w:rFonts w:hint="eastAsia" w:asciiTheme="minorEastAsia" w:hAnsiTheme="minorEastAsia" w:cstheme="minorEastAsia"/>
                <w:szCs w:val="21"/>
                <w:lang w:val="en-US" w:eastAsia="zh-CN"/>
              </w:rPr>
              <w:t>与数字化运营</w:t>
            </w:r>
          </w:p>
        </w:tc>
        <w:tc>
          <w:tcPr>
            <w:tcW w:w="1488"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rPr>
              <w:t>业余</w:t>
            </w:r>
          </w:p>
        </w:tc>
        <w:tc>
          <w:tcPr>
            <w:tcW w:w="1109"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rPr>
              <w:t>2.5</w:t>
            </w:r>
          </w:p>
        </w:tc>
        <w:tc>
          <w:tcPr>
            <w:tcW w:w="1197"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color w:val="333333"/>
                <w:szCs w:val="21"/>
              </w:rPr>
              <w:t>文史类</w:t>
            </w:r>
          </w:p>
        </w:tc>
        <w:tc>
          <w:tcPr>
            <w:tcW w:w="2774" w:type="dxa"/>
            <w:vMerge w:val="continue"/>
            <w:vAlign w:val="center"/>
          </w:tcPr>
          <w:p>
            <w:pPr>
              <w:widowControl/>
              <w:wordWrap w:val="0"/>
              <w:spacing w:line="48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854"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lang w:val="en-US" w:eastAsia="zh-CN"/>
              </w:rPr>
              <w:t>大数据与会计</w:t>
            </w:r>
          </w:p>
        </w:tc>
        <w:tc>
          <w:tcPr>
            <w:tcW w:w="1488"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rPr>
              <w:t>业余</w:t>
            </w:r>
          </w:p>
        </w:tc>
        <w:tc>
          <w:tcPr>
            <w:tcW w:w="1109"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rPr>
              <w:t>2.5</w:t>
            </w:r>
          </w:p>
        </w:tc>
        <w:tc>
          <w:tcPr>
            <w:tcW w:w="1197"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rPr>
              <w:t>理工</w:t>
            </w:r>
            <w:r>
              <w:rPr>
                <w:rFonts w:hint="eastAsia" w:asciiTheme="minorEastAsia" w:hAnsiTheme="minorEastAsia" w:cstheme="minorEastAsia"/>
                <w:color w:val="333333"/>
                <w:szCs w:val="21"/>
              </w:rPr>
              <w:t>类</w:t>
            </w:r>
          </w:p>
        </w:tc>
        <w:tc>
          <w:tcPr>
            <w:tcW w:w="2774" w:type="dxa"/>
            <w:vMerge w:val="restart"/>
            <w:vAlign w:val="center"/>
          </w:tcPr>
          <w:p>
            <w:pPr>
              <w:widowControl/>
              <w:wordWrap w:val="0"/>
              <w:spacing w:line="480" w:lineRule="exact"/>
              <w:rPr>
                <w:rFonts w:asciiTheme="minorEastAsia" w:hAnsiTheme="minorEastAsia" w:cstheme="minorEastAsia"/>
                <w:szCs w:val="21"/>
              </w:rPr>
            </w:pPr>
            <w:r>
              <w:rPr>
                <w:rFonts w:hint="eastAsia" w:asciiTheme="minorEastAsia" w:hAnsiTheme="minorEastAsia" w:cstheme="minorEastAsia"/>
                <w:color w:val="333333"/>
                <w:szCs w:val="21"/>
              </w:rPr>
              <w:t>语文、数学（理）、英语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854"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rPr>
              <w:t>机电一体化技术</w:t>
            </w:r>
          </w:p>
        </w:tc>
        <w:tc>
          <w:tcPr>
            <w:tcW w:w="1488"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rPr>
              <w:t>业余</w:t>
            </w:r>
          </w:p>
        </w:tc>
        <w:tc>
          <w:tcPr>
            <w:tcW w:w="1109"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rPr>
              <w:t>2.5</w:t>
            </w:r>
          </w:p>
        </w:tc>
        <w:tc>
          <w:tcPr>
            <w:tcW w:w="1197"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rPr>
              <w:t>理工类</w:t>
            </w:r>
          </w:p>
        </w:tc>
        <w:tc>
          <w:tcPr>
            <w:tcW w:w="2774" w:type="dxa"/>
            <w:vMerge w:val="continue"/>
            <w:vAlign w:val="center"/>
          </w:tcPr>
          <w:p>
            <w:pPr>
              <w:widowControl/>
              <w:wordWrap w:val="0"/>
              <w:spacing w:line="480" w:lineRule="exact"/>
              <w:jc w:val="center"/>
              <w:rPr>
                <w:rFonts w:asciiTheme="minorEastAsia" w:hAnsiTheme="minorEastAsia" w:cstheme="minorEastAsia"/>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854"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rPr>
              <w:t>工商企业管理</w:t>
            </w:r>
          </w:p>
        </w:tc>
        <w:tc>
          <w:tcPr>
            <w:tcW w:w="1488"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rPr>
              <w:t>业余</w:t>
            </w:r>
          </w:p>
        </w:tc>
        <w:tc>
          <w:tcPr>
            <w:tcW w:w="1109"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rPr>
              <w:t>2.5</w:t>
            </w:r>
          </w:p>
        </w:tc>
        <w:tc>
          <w:tcPr>
            <w:tcW w:w="1197"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rPr>
              <w:t>理工类</w:t>
            </w:r>
          </w:p>
        </w:tc>
        <w:tc>
          <w:tcPr>
            <w:tcW w:w="2774" w:type="dxa"/>
            <w:vMerge w:val="continue"/>
            <w:vAlign w:val="center"/>
          </w:tcPr>
          <w:p>
            <w:pPr>
              <w:widowControl/>
              <w:wordWrap w:val="0"/>
              <w:spacing w:line="480" w:lineRule="exact"/>
              <w:jc w:val="center"/>
              <w:rPr>
                <w:rFonts w:asciiTheme="minorEastAsia" w:hAnsiTheme="minorEastAsia" w:cstheme="minorEastAsia"/>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854"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rPr>
              <w:t>酒店管理</w:t>
            </w:r>
            <w:r>
              <w:rPr>
                <w:rFonts w:hint="eastAsia" w:asciiTheme="minorEastAsia" w:hAnsiTheme="minorEastAsia" w:cstheme="minorEastAsia"/>
                <w:szCs w:val="21"/>
                <w:lang w:val="en-US" w:eastAsia="zh-CN"/>
              </w:rPr>
              <w:t>与数字化运营</w:t>
            </w:r>
          </w:p>
        </w:tc>
        <w:tc>
          <w:tcPr>
            <w:tcW w:w="1488"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rPr>
              <w:t>业余</w:t>
            </w:r>
          </w:p>
        </w:tc>
        <w:tc>
          <w:tcPr>
            <w:tcW w:w="1109"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rPr>
              <w:t>2.5</w:t>
            </w:r>
          </w:p>
        </w:tc>
        <w:tc>
          <w:tcPr>
            <w:tcW w:w="1197" w:type="dxa"/>
            <w:vAlign w:val="center"/>
          </w:tcPr>
          <w:p>
            <w:pPr>
              <w:widowControl/>
              <w:wordWrap w:val="0"/>
              <w:spacing w:line="480" w:lineRule="exact"/>
              <w:jc w:val="center"/>
              <w:rPr>
                <w:rFonts w:asciiTheme="minorEastAsia" w:hAnsiTheme="minorEastAsia" w:cstheme="minorEastAsia"/>
                <w:szCs w:val="21"/>
              </w:rPr>
            </w:pPr>
            <w:r>
              <w:rPr>
                <w:rFonts w:hint="eastAsia" w:asciiTheme="minorEastAsia" w:hAnsiTheme="minorEastAsia" w:cstheme="minorEastAsia"/>
                <w:szCs w:val="21"/>
              </w:rPr>
              <w:t>理工类</w:t>
            </w:r>
          </w:p>
        </w:tc>
        <w:tc>
          <w:tcPr>
            <w:tcW w:w="2774" w:type="dxa"/>
            <w:vMerge w:val="continue"/>
            <w:vAlign w:val="center"/>
          </w:tcPr>
          <w:p>
            <w:pPr>
              <w:widowControl/>
              <w:wordWrap w:val="0"/>
              <w:spacing w:line="480" w:lineRule="exact"/>
              <w:jc w:val="center"/>
              <w:rPr>
                <w:rFonts w:asciiTheme="minorEastAsia" w:hAnsiTheme="minorEastAsia" w:cstheme="minorEastAsia"/>
                <w:color w:val="333333"/>
                <w:szCs w:val="21"/>
              </w:rPr>
            </w:pPr>
          </w:p>
        </w:tc>
      </w:tr>
    </w:tbl>
    <w:p>
      <w:pPr>
        <w:widowControl/>
        <w:shd w:val="clear" w:color="auto" w:fill="FFFFFF"/>
        <w:spacing w:line="480" w:lineRule="exact"/>
        <w:ind w:firstLine="560" w:firstLineChars="200"/>
        <w:jc w:val="left"/>
        <w:rPr>
          <w:rFonts w:asciiTheme="minorEastAsia" w:hAnsiTheme="minorEastAsia" w:cstheme="minorEastAsia"/>
          <w:bCs/>
          <w:sz w:val="28"/>
          <w:szCs w:val="28"/>
        </w:rPr>
      </w:pPr>
      <w:r>
        <w:rPr>
          <w:rFonts w:hint="eastAsia" w:asciiTheme="minorEastAsia" w:hAnsiTheme="minorEastAsia" w:cstheme="minorEastAsia"/>
          <w:sz w:val="28"/>
          <w:szCs w:val="28"/>
        </w:rPr>
        <w:t>注：最终招生专业以浙江省教育考试院公布为准。</w:t>
      </w:r>
      <w:r>
        <w:rPr>
          <w:rFonts w:hint="eastAsia" w:asciiTheme="minorEastAsia" w:hAnsiTheme="minorEastAsia" w:cstheme="minorEastAsia"/>
          <w:bCs/>
          <w:sz w:val="28"/>
          <w:szCs w:val="28"/>
        </w:rPr>
        <w:t>202</w:t>
      </w:r>
      <w:r>
        <w:rPr>
          <w:rFonts w:hint="eastAsia" w:asciiTheme="minorEastAsia" w:hAnsiTheme="minorEastAsia" w:cstheme="minorEastAsia"/>
          <w:bCs/>
          <w:sz w:val="28"/>
          <w:szCs w:val="28"/>
          <w:lang w:val="en-US" w:eastAsia="zh-CN"/>
        </w:rPr>
        <w:t>1</w:t>
      </w:r>
      <w:r>
        <w:rPr>
          <w:rFonts w:hint="eastAsia" w:asciiTheme="minorEastAsia" w:hAnsiTheme="minorEastAsia" w:cstheme="minorEastAsia"/>
          <w:bCs/>
          <w:sz w:val="28"/>
          <w:szCs w:val="28"/>
        </w:rPr>
        <w:t>年成人高等学校招生全国统一考试具体时间届时请参照各省教育考试院网站。</w:t>
      </w:r>
    </w:p>
    <w:p>
      <w:pPr>
        <w:widowControl/>
        <w:wordWrap w:val="0"/>
        <w:spacing w:line="480" w:lineRule="exact"/>
        <w:jc w:val="left"/>
        <w:rPr>
          <w:rFonts w:asciiTheme="minorEastAsia" w:hAnsiTheme="minorEastAsia" w:cstheme="minorEastAsia"/>
          <w:sz w:val="28"/>
          <w:szCs w:val="28"/>
        </w:rPr>
      </w:pPr>
      <w:r>
        <w:rPr>
          <w:rFonts w:hint="eastAsia" w:asciiTheme="minorEastAsia" w:hAnsiTheme="minorEastAsia" w:cstheme="minorEastAsia"/>
          <w:b/>
          <w:bCs/>
          <w:sz w:val="28"/>
          <w:szCs w:val="28"/>
        </w:rPr>
        <w:t>13.录取规则：</w:t>
      </w:r>
      <w:r>
        <w:rPr>
          <w:rFonts w:hint="eastAsia" w:asciiTheme="minorEastAsia" w:hAnsiTheme="minorEastAsia" w:cstheme="minorEastAsia"/>
          <w:sz w:val="28"/>
          <w:szCs w:val="28"/>
        </w:rPr>
        <w:br w:type="textWrapping"/>
      </w:r>
      <w:r>
        <w:rPr>
          <w:rFonts w:hint="eastAsia" w:asciiTheme="minorEastAsia" w:hAnsiTheme="minorEastAsia" w:cstheme="minorEastAsia"/>
          <w:sz w:val="28"/>
          <w:szCs w:val="28"/>
        </w:rPr>
        <w:t xml:space="preserve">    (1)招生工作实行“成人高校负责，省教育考试院监督”的录取体制，招生工作由学院监察审计处负责监督。招生录取工作严格遵守教育部和省教育考试院的有关政策和规定，积极组织实施高校招生“阳光工程”，贯彻“公平竞争、公正选拔、公开透明”的原则，对符合报考条件，依照浙江省教育考试院所确定的最低录取控制分数线，按考生志愿和招生计划，分专业从高分到低分择优录取。</w:t>
      </w:r>
      <w:r>
        <w:rPr>
          <w:rFonts w:hint="eastAsia" w:asciiTheme="minorEastAsia" w:hAnsiTheme="minorEastAsia" w:cstheme="minorEastAsia"/>
          <w:sz w:val="28"/>
          <w:szCs w:val="28"/>
        </w:rPr>
        <w:br w:type="textWrapping"/>
      </w:r>
      <w:r>
        <w:rPr>
          <w:rFonts w:hint="eastAsia" w:asciiTheme="minorEastAsia" w:hAnsiTheme="minorEastAsia" w:cstheme="minorEastAsia"/>
          <w:sz w:val="28"/>
          <w:szCs w:val="28"/>
        </w:rPr>
        <w:t xml:space="preserve">    (2)在招生计划许可的情况下，各专业招生人数可视成人高考上分数线人数和学校办学资源而定，当考生填报的专业志愿都未被录取时，对服从专业调剂者，从高分到低分调剂到未录满专业；对不服从专业调剂者，予以退档处理。</w:t>
      </w:r>
    </w:p>
    <w:p>
      <w:pPr>
        <w:widowControl/>
        <w:wordWrap w:val="0"/>
        <w:spacing w:line="480" w:lineRule="exact"/>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    （3）第一志愿生源不足的情况下，接收经调剂录取非第一志愿考生。经调剂录取后仍不足20人开班的专业将予以停办。上线考生可调剂到其它专业，对不服从调剂者，予以退档处理。</w:t>
      </w:r>
    </w:p>
    <w:p>
      <w:pPr>
        <w:spacing w:line="480" w:lineRule="exact"/>
        <w:rPr>
          <w:rFonts w:ascii="仿宋_GB2312" w:eastAsia="仿宋_GB2312"/>
          <w:sz w:val="28"/>
          <w:szCs w:val="28"/>
        </w:rPr>
      </w:pPr>
      <w:r>
        <w:rPr>
          <w:rFonts w:hint="eastAsia" w:asciiTheme="minorEastAsia" w:hAnsiTheme="minorEastAsia" w:cstheme="minorEastAsia"/>
          <w:b/>
          <w:bCs/>
          <w:sz w:val="28"/>
          <w:szCs w:val="28"/>
        </w:rPr>
        <w:t>14.入学注意事项：</w:t>
      </w:r>
      <w:r>
        <w:rPr>
          <w:rFonts w:hint="eastAsia" w:asciiTheme="minorEastAsia" w:hAnsiTheme="minorEastAsia" w:cstheme="minorEastAsia"/>
          <w:sz w:val="28"/>
          <w:szCs w:val="28"/>
          <w:lang w:val="en"/>
        </w:rPr>
        <w:t>被我校录取的新生，应在学校规定的期限内到校办理入学注册手续。因故不能按期入学者，应在报到日起7个工作日内向学校请假。未请假或请假逾期者，视为放弃入学资格。</w:t>
      </w:r>
    </w:p>
    <w:p>
      <w:pPr>
        <w:widowControl/>
        <w:shd w:val="clear" w:color="auto" w:fill="FFFFFF"/>
        <w:spacing w:line="480" w:lineRule="exact"/>
        <w:jc w:val="left"/>
        <w:rPr>
          <w:rFonts w:asciiTheme="minorEastAsia" w:hAnsiTheme="minorEastAsia" w:cstheme="minorEastAsia"/>
          <w:sz w:val="28"/>
          <w:szCs w:val="28"/>
          <w:lang w:val="en"/>
        </w:rPr>
      </w:pPr>
      <w:r>
        <w:rPr>
          <w:rFonts w:hint="eastAsia" w:asciiTheme="minorEastAsia" w:hAnsiTheme="minorEastAsia" w:cstheme="minorEastAsia"/>
          <w:b/>
          <w:bCs/>
          <w:sz w:val="28"/>
          <w:szCs w:val="28"/>
        </w:rPr>
        <w:t>15.收费标准：</w:t>
      </w:r>
      <w:r>
        <w:rPr>
          <w:rFonts w:hint="eastAsia" w:asciiTheme="minorEastAsia" w:hAnsiTheme="minorEastAsia" w:cstheme="minorEastAsia"/>
          <w:sz w:val="28"/>
          <w:szCs w:val="28"/>
        </w:rPr>
        <w:t>按《浙江省物价局 浙江省财政厅 浙江省教育厅关于调整成人高等教育收费的通知》（浙价费[2014]245号）等相关规定收取。</w:t>
      </w:r>
      <w:r>
        <w:rPr>
          <w:rFonts w:hint="eastAsia" w:asciiTheme="minorEastAsia" w:hAnsiTheme="minorEastAsia" w:cstheme="minorEastAsia"/>
          <w:sz w:val="28"/>
          <w:szCs w:val="28"/>
          <w:lang w:val="en"/>
        </w:rPr>
        <w:t>专科最短学习年限</w:t>
      </w:r>
      <w:r>
        <w:rPr>
          <w:rFonts w:hint="eastAsia" w:asciiTheme="minorEastAsia" w:hAnsiTheme="minorEastAsia" w:cstheme="minorEastAsia"/>
          <w:sz w:val="28"/>
          <w:szCs w:val="28"/>
        </w:rPr>
        <w:t>2.5</w:t>
      </w:r>
      <w:r>
        <w:rPr>
          <w:rFonts w:hint="eastAsia" w:asciiTheme="minorEastAsia" w:hAnsiTheme="minorEastAsia" w:cstheme="minorEastAsia"/>
          <w:sz w:val="28"/>
          <w:szCs w:val="28"/>
          <w:lang w:val="en"/>
        </w:rPr>
        <w:t>年，其中工科3300元/学年，其他专业按2970元/学年。</w:t>
      </w:r>
    </w:p>
    <w:p>
      <w:pPr>
        <w:widowControl/>
        <w:wordWrap w:val="0"/>
        <w:spacing w:line="480" w:lineRule="exact"/>
        <w:jc w:val="left"/>
        <w:rPr>
          <w:rFonts w:asciiTheme="minorEastAsia" w:hAnsiTheme="minorEastAsia" w:cstheme="minorEastAsia"/>
          <w:sz w:val="28"/>
          <w:szCs w:val="28"/>
        </w:rPr>
      </w:pPr>
      <w:r>
        <w:rPr>
          <w:rFonts w:hint="eastAsia" w:asciiTheme="minorEastAsia" w:hAnsiTheme="minorEastAsia" w:cstheme="minorEastAsia"/>
          <w:b/>
          <w:bCs/>
          <w:sz w:val="28"/>
          <w:szCs w:val="28"/>
        </w:rPr>
        <w:t>16.毕业待遇：</w:t>
      </w:r>
      <w:r>
        <w:rPr>
          <w:rFonts w:hint="eastAsia" w:asciiTheme="minorEastAsia" w:hAnsiTheme="minorEastAsia" w:cstheme="minorEastAsia"/>
          <w:sz w:val="28"/>
          <w:szCs w:val="28"/>
        </w:rPr>
        <w:t>凡参加全国成人高考统一考试被我校录取的学生，修完我校专业教学计划规定的全部课程，成绩合格，颁发国家承认的成人高等学历教育专科毕业证书，并在中国高等教育学生信息网上电子注册。按照国家和浙江省的有关文件规定，其待遇与普通高等学校相同学历层次毕业生同等对待。</w:t>
      </w:r>
    </w:p>
    <w:p>
      <w:pPr>
        <w:spacing w:line="480" w:lineRule="exact"/>
        <w:rPr>
          <w:rFonts w:asciiTheme="minorEastAsia" w:hAnsiTheme="minorEastAsia" w:cstheme="minorEastAsia"/>
          <w:sz w:val="28"/>
          <w:szCs w:val="28"/>
        </w:rPr>
      </w:pPr>
      <w:r>
        <w:rPr>
          <w:rFonts w:hint="eastAsia" w:asciiTheme="minorEastAsia" w:hAnsiTheme="minorEastAsia" w:cstheme="minorEastAsia"/>
          <w:b/>
          <w:bCs/>
          <w:sz w:val="28"/>
          <w:szCs w:val="28"/>
        </w:rPr>
        <w:t>17.联系地址：</w:t>
      </w:r>
      <w:r>
        <w:rPr>
          <w:rFonts w:hint="eastAsia" w:asciiTheme="minorEastAsia" w:hAnsiTheme="minorEastAsia" w:cstheme="minorEastAsia"/>
          <w:sz w:val="28"/>
          <w:szCs w:val="28"/>
        </w:rPr>
        <w:t>杭州市西湖区西溪路896号杭州万向职业技术学院。邮政编码：310023。</w:t>
      </w:r>
    </w:p>
    <w:p>
      <w:pPr>
        <w:tabs>
          <w:tab w:val="left" w:pos="8229"/>
        </w:tabs>
        <w:spacing w:line="480" w:lineRule="exact"/>
        <w:rPr>
          <w:rFonts w:asciiTheme="minorEastAsia" w:hAnsiTheme="minorEastAsia" w:cstheme="minorEastAsia"/>
          <w:sz w:val="28"/>
          <w:szCs w:val="28"/>
        </w:rPr>
      </w:pPr>
      <w:r>
        <w:rPr>
          <w:rFonts w:hint="eastAsia" w:asciiTheme="minorEastAsia" w:hAnsiTheme="minorEastAsia" w:cstheme="minorEastAsia"/>
          <w:b/>
          <w:bCs/>
          <w:sz w:val="28"/>
          <w:szCs w:val="28"/>
        </w:rPr>
        <w:t>18.咨询电话：</w:t>
      </w:r>
      <w:r>
        <w:rPr>
          <w:rFonts w:hint="eastAsia" w:asciiTheme="minorEastAsia" w:hAnsiTheme="minorEastAsia" w:cstheme="minorEastAsia"/>
          <w:sz w:val="28"/>
          <w:szCs w:val="28"/>
        </w:rPr>
        <w:t>0571-87065831（严老师、陈老师）</w:t>
      </w:r>
      <w:r>
        <w:rPr>
          <w:rFonts w:asciiTheme="minorEastAsia" w:hAnsiTheme="minorEastAsia" w:cstheme="minorEastAsia"/>
          <w:sz w:val="28"/>
          <w:szCs w:val="28"/>
        </w:rPr>
        <w:tab/>
      </w:r>
    </w:p>
    <w:p>
      <w:pPr>
        <w:spacing w:line="480" w:lineRule="exact"/>
        <w:rPr>
          <w:rFonts w:asciiTheme="minorEastAsia" w:hAnsiTheme="minorEastAsia" w:cstheme="minorEastAsia"/>
          <w:sz w:val="28"/>
          <w:szCs w:val="28"/>
        </w:rPr>
      </w:pPr>
      <w:r>
        <w:rPr>
          <w:rFonts w:hint="eastAsia" w:asciiTheme="minorEastAsia" w:hAnsiTheme="minorEastAsia" w:cstheme="minorEastAsia"/>
          <w:b/>
          <w:bCs/>
          <w:sz w:val="28"/>
          <w:szCs w:val="28"/>
        </w:rPr>
        <w:t>19.学院网址：</w:t>
      </w:r>
      <w:r>
        <w:fldChar w:fldCharType="begin"/>
      </w:r>
      <w:r>
        <w:instrText xml:space="preserve"> HYPERLINK "http://www.wxpoly.cn" </w:instrText>
      </w:r>
      <w:r>
        <w:fldChar w:fldCharType="separate"/>
      </w:r>
      <w:r>
        <w:rPr>
          <w:rStyle w:val="10"/>
          <w:color w:val="000000"/>
          <w:kern w:val="0"/>
          <w:sz w:val="28"/>
          <w:szCs w:val="28"/>
        </w:rPr>
        <w:t>http://www.wxpoly.cn</w:t>
      </w:r>
      <w:r>
        <w:rPr>
          <w:rStyle w:val="10"/>
          <w:color w:val="000000"/>
          <w:kern w:val="0"/>
          <w:sz w:val="28"/>
          <w:szCs w:val="28"/>
        </w:rPr>
        <w:fldChar w:fldCharType="end"/>
      </w:r>
    </w:p>
    <w:p>
      <w:pPr>
        <w:spacing w:line="480" w:lineRule="exact"/>
        <w:ind w:firstLine="560" w:firstLineChars="200"/>
        <w:rPr>
          <w:rFonts w:asciiTheme="minorEastAsia" w:hAnsiTheme="minorEastAsia" w:cstheme="minorEastAsia"/>
          <w:sz w:val="28"/>
          <w:szCs w:val="28"/>
        </w:rPr>
      </w:pPr>
    </w:p>
    <w:p>
      <w:pPr>
        <w:spacing w:line="480" w:lineRule="exact"/>
        <w:rPr>
          <w:rFonts w:asciiTheme="minorEastAsia" w:hAnsiTheme="minorEastAsia" w:cstheme="minorEastAsia"/>
          <w:sz w:val="28"/>
          <w:szCs w:val="28"/>
        </w:rPr>
      </w:pPr>
    </w:p>
    <w:p>
      <w:pPr>
        <w:spacing w:line="480" w:lineRule="exact"/>
        <w:rPr>
          <w:rFonts w:asciiTheme="minorEastAsia" w:hAnsiTheme="minorEastAsia" w:cstheme="minorEastAsia"/>
          <w:sz w:val="28"/>
          <w:szCs w:val="28"/>
        </w:rPr>
      </w:pPr>
    </w:p>
    <w:sectPr>
      <w:pgSz w:w="11906" w:h="16838"/>
      <w:pgMar w:top="1418" w:right="1486" w:bottom="13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3505E05"/>
    <w:rsid w:val="000009C0"/>
    <w:rsid w:val="00037FD1"/>
    <w:rsid w:val="000C4B73"/>
    <w:rsid w:val="00113D93"/>
    <w:rsid w:val="00164BEC"/>
    <w:rsid w:val="00165997"/>
    <w:rsid w:val="001927CB"/>
    <w:rsid w:val="001C71B4"/>
    <w:rsid w:val="001F6C4A"/>
    <w:rsid w:val="00232A62"/>
    <w:rsid w:val="002508A2"/>
    <w:rsid w:val="00252513"/>
    <w:rsid w:val="002E2A6E"/>
    <w:rsid w:val="002F10F3"/>
    <w:rsid w:val="00300999"/>
    <w:rsid w:val="00324A05"/>
    <w:rsid w:val="00374EAF"/>
    <w:rsid w:val="00381B59"/>
    <w:rsid w:val="003F7FDA"/>
    <w:rsid w:val="0044107E"/>
    <w:rsid w:val="00466DB6"/>
    <w:rsid w:val="00466F95"/>
    <w:rsid w:val="004A4D9D"/>
    <w:rsid w:val="00501669"/>
    <w:rsid w:val="005952E1"/>
    <w:rsid w:val="00787F92"/>
    <w:rsid w:val="007A5907"/>
    <w:rsid w:val="00883290"/>
    <w:rsid w:val="00886970"/>
    <w:rsid w:val="00894EF7"/>
    <w:rsid w:val="008B18C6"/>
    <w:rsid w:val="008D268C"/>
    <w:rsid w:val="0092472F"/>
    <w:rsid w:val="00960BF0"/>
    <w:rsid w:val="00962B15"/>
    <w:rsid w:val="00964405"/>
    <w:rsid w:val="00967D2C"/>
    <w:rsid w:val="00974FFA"/>
    <w:rsid w:val="00992186"/>
    <w:rsid w:val="009C4089"/>
    <w:rsid w:val="009F757F"/>
    <w:rsid w:val="00A918B9"/>
    <w:rsid w:val="00B14D40"/>
    <w:rsid w:val="00B22D39"/>
    <w:rsid w:val="00B34DE0"/>
    <w:rsid w:val="00B429E6"/>
    <w:rsid w:val="00B86535"/>
    <w:rsid w:val="00B95420"/>
    <w:rsid w:val="00BC3BEA"/>
    <w:rsid w:val="00BE3F4A"/>
    <w:rsid w:val="00C41F5A"/>
    <w:rsid w:val="00C77F23"/>
    <w:rsid w:val="00CE576B"/>
    <w:rsid w:val="00CF5EFA"/>
    <w:rsid w:val="00D76C06"/>
    <w:rsid w:val="00D944AD"/>
    <w:rsid w:val="00DB6CEB"/>
    <w:rsid w:val="00DC2B8F"/>
    <w:rsid w:val="00DD0C44"/>
    <w:rsid w:val="00E33B31"/>
    <w:rsid w:val="00E84A61"/>
    <w:rsid w:val="00E950E7"/>
    <w:rsid w:val="00EA0EB4"/>
    <w:rsid w:val="00EA63C4"/>
    <w:rsid w:val="00F1642F"/>
    <w:rsid w:val="00F220B5"/>
    <w:rsid w:val="00F72FD9"/>
    <w:rsid w:val="00FA60D8"/>
    <w:rsid w:val="0234554A"/>
    <w:rsid w:val="02DE5D0C"/>
    <w:rsid w:val="04D86FBD"/>
    <w:rsid w:val="08797D1A"/>
    <w:rsid w:val="0BBC7BB7"/>
    <w:rsid w:val="0BD44E7B"/>
    <w:rsid w:val="0EA70F68"/>
    <w:rsid w:val="0F88311B"/>
    <w:rsid w:val="12783E34"/>
    <w:rsid w:val="12B32409"/>
    <w:rsid w:val="12F936FC"/>
    <w:rsid w:val="14D5771A"/>
    <w:rsid w:val="17DF6BFF"/>
    <w:rsid w:val="199F5C5B"/>
    <w:rsid w:val="1F1021BE"/>
    <w:rsid w:val="1F6E3082"/>
    <w:rsid w:val="207B24CA"/>
    <w:rsid w:val="20DB4CC1"/>
    <w:rsid w:val="20DE4EA2"/>
    <w:rsid w:val="238774A0"/>
    <w:rsid w:val="24F6094E"/>
    <w:rsid w:val="2C977847"/>
    <w:rsid w:val="2CCD0D3B"/>
    <w:rsid w:val="2DB51FB3"/>
    <w:rsid w:val="2E132B1F"/>
    <w:rsid w:val="2E8846D0"/>
    <w:rsid w:val="30A74A32"/>
    <w:rsid w:val="32533714"/>
    <w:rsid w:val="33B457C9"/>
    <w:rsid w:val="33C32D3E"/>
    <w:rsid w:val="33F30DCA"/>
    <w:rsid w:val="341958C1"/>
    <w:rsid w:val="39331F5E"/>
    <w:rsid w:val="3C4601BF"/>
    <w:rsid w:val="3C771402"/>
    <w:rsid w:val="3EB532E4"/>
    <w:rsid w:val="3FC073EB"/>
    <w:rsid w:val="42FB4883"/>
    <w:rsid w:val="434817D0"/>
    <w:rsid w:val="43882E41"/>
    <w:rsid w:val="43BE43F8"/>
    <w:rsid w:val="43DD03C5"/>
    <w:rsid w:val="4701241C"/>
    <w:rsid w:val="48590F10"/>
    <w:rsid w:val="4875140C"/>
    <w:rsid w:val="4D413269"/>
    <w:rsid w:val="4E377761"/>
    <w:rsid w:val="52E44984"/>
    <w:rsid w:val="561165EC"/>
    <w:rsid w:val="5A174C22"/>
    <w:rsid w:val="5B56274B"/>
    <w:rsid w:val="60F67682"/>
    <w:rsid w:val="64524588"/>
    <w:rsid w:val="686B47F9"/>
    <w:rsid w:val="6960234A"/>
    <w:rsid w:val="698F12C6"/>
    <w:rsid w:val="6BBE1F5D"/>
    <w:rsid w:val="71563364"/>
    <w:rsid w:val="73505E05"/>
    <w:rsid w:val="73813853"/>
    <w:rsid w:val="79803BBE"/>
    <w:rsid w:val="79A8246B"/>
    <w:rsid w:val="79ED46CE"/>
    <w:rsid w:val="7A0B6E08"/>
    <w:rsid w:val="7BB579BD"/>
    <w:rsid w:val="7C2E6E38"/>
    <w:rsid w:val="7FCF5070"/>
    <w:rsid w:val="7FF86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pPr>
    <w:rPr>
      <w:rFonts w:ascii="宋体" w:hAnsi="宋体" w:cs="宋体"/>
      <w:sz w:val="24"/>
    </w:rPr>
  </w:style>
  <w:style w:type="character" w:styleId="7">
    <w:name w:val="Strong"/>
    <w:basedOn w:val="6"/>
    <w:qFormat/>
    <w:uiPriority w:val="22"/>
    <w:rPr>
      <w:b/>
      <w:bCs/>
    </w:rPr>
  </w:style>
  <w:style w:type="character" w:styleId="8">
    <w:name w:val="FollowedHyperlink"/>
    <w:basedOn w:val="6"/>
    <w:qFormat/>
    <w:uiPriority w:val="0"/>
    <w:rPr>
      <w:color w:val="800080"/>
      <w:sz w:val="24"/>
      <w:szCs w:val="24"/>
      <w:u w:val="none"/>
      <w:vertAlign w:val="baseline"/>
    </w:rPr>
  </w:style>
  <w:style w:type="character" w:styleId="9">
    <w:name w:val="Emphasis"/>
    <w:basedOn w:val="6"/>
    <w:qFormat/>
    <w:uiPriority w:val="0"/>
  </w:style>
  <w:style w:type="character" w:styleId="10">
    <w:name w:val="Hyperlink"/>
    <w:basedOn w:val="6"/>
    <w:qFormat/>
    <w:uiPriority w:val="0"/>
    <w:rPr>
      <w:color w:val="0000FF"/>
      <w:sz w:val="24"/>
      <w:szCs w:val="24"/>
      <w:u w:val="none"/>
      <w:vertAlign w:val="baselin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3">
    <w:name w:val="List Paragraph"/>
    <w:basedOn w:val="1"/>
    <w:unhideWhenUsed/>
    <w:qFormat/>
    <w:uiPriority w:val="99"/>
    <w:pPr>
      <w:ind w:firstLine="420" w:firstLineChars="200"/>
    </w:pPr>
  </w:style>
  <w:style w:type="character" w:customStyle="1" w:styleId="14">
    <w:name w:val="批注框文本 Char"/>
    <w:basedOn w:val="6"/>
    <w:link w:val="2"/>
    <w:qFormat/>
    <w:uiPriority w:val="0"/>
    <w:rPr>
      <w:rFonts w:asciiTheme="minorHAnsi" w:hAnsiTheme="minorHAnsi" w:eastAsiaTheme="minorEastAsia" w:cstheme="minorBidi"/>
      <w:kern w:val="2"/>
      <w:sz w:val="18"/>
      <w:szCs w:val="18"/>
    </w:rPr>
  </w:style>
  <w:style w:type="character" w:customStyle="1" w:styleId="15">
    <w:name w:val="页眉 Char"/>
    <w:basedOn w:val="6"/>
    <w:link w:val="4"/>
    <w:qFormat/>
    <w:uiPriority w:val="0"/>
    <w:rPr>
      <w:rFonts w:asciiTheme="minorHAnsi" w:hAnsiTheme="minorHAnsi" w:eastAsiaTheme="minorEastAsia" w:cstheme="minorBidi"/>
      <w:kern w:val="2"/>
      <w:sz w:val="18"/>
      <w:szCs w:val="18"/>
    </w:rPr>
  </w:style>
  <w:style w:type="character" w:customStyle="1" w:styleId="16">
    <w:name w:val="页脚 Char"/>
    <w:basedOn w:val="6"/>
    <w:link w:val="3"/>
    <w:qFormat/>
    <w:uiPriority w:val="0"/>
    <w:rPr>
      <w:rFonts w:asciiTheme="minorHAnsi" w:hAnsiTheme="minorHAnsi" w:eastAsiaTheme="minorEastAsia" w:cstheme="minorBidi"/>
      <w:kern w:val="2"/>
      <w:sz w:val="18"/>
      <w:szCs w:val="18"/>
    </w:rPr>
  </w:style>
  <w:style w:type="character" w:customStyle="1" w:styleId="17">
    <w:name w:val="first-child1"/>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升水</Company>
  <Pages>3</Pages>
  <Words>267</Words>
  <Characters>1525</Characters>
  <Lines>12</Lines>
  <Paragraphs>3</Paragraphs>
  <TotalTime>2</TotalTime>
  <ScaleCrop>false</ScaleCrop>
  <LinksUpToDate>false</LinksUpToDate>
  <CharactersWithSpaces>1789</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2016-08-03T09:36:00Z</dcterms:created>
  <dc:creator>weiping</dc:creator>
  <cp:lastModifiedBy>lenovo</cp:lastModifiedBy>
  <cp:lastPrinted>2020-07-06T01:00:00Z</cp:lastPrinted>
  <dcterms:modified xsi:type="dcterms:W3CDTF">2021-09-01T06:12:39Z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