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240" w:lineRule="auto"/>
        <w:ind w:left="0" w:leftChars="0" w:firstLine="420" w:firstLineChars="95"/>
        <w:jc w:val="center"/>
        <w:rPr>
          <w:rFonts w:hint="eastAsia" w:eastAsia="宋体"/>
          <w:lang w:val="en-US" w:eastAsia="zh-CN"/>
        </w:rPr>
      </w:pPr>
      <w:r>
        <w:rPr>
          <w:rFonts w:hint="eastAsia"/>
        </w:rPr>
        <w:t>温州大学成人高等教育招生</w:t>
      </w:r>
    </w:p>
    <w:p>
      <w:pPr>
        <w:ind w:left="0" w:leftChars="0" w:firstLine="420" w:firstLineChars="95"/>
        <w:jc w:val="center"/>
        <w:rPr>
          <w:b/>
          <w:bCs/>
          <w:kern w:val="44"/>
          <w:sz w:val="44"/>
          <w:szCs w:val="44"/>
        </w:rPr>
      </w:pPr>
      <w:r>
        <w:rPr>
          <w:rFonts w:hint="eastAsia"/>
          <w:b/>
          <w:bCs/>
          <w:kern w:val="44"/>
          <w:sz w:val="44"/>
          <w:szCs w:val="44"/>
        </w:rPr>
        <w:t>院校代码：438</w:t>
      </w:r>
    </w:p>
    <w:p>
      <w:pPr>
        <w:spacing w:line="276" w:lineRule="auto"/>
        <w:ind w:left="0" w:leftChars="0" w:firstLine="199" w:firstLineChars="95"/>
        <w:rPr>
          <w:rFonts w:hint="eastAsia"/>
          <w:bCs/>
          <w:color w:val="auto"/>
          <w:szCs w:val="21"/>
          <w:highlight w:val="none"/>
        </w:rPr>
      </w:pPr>
    </w:p>
    <w:p>
      <w:pPr>
        <w:spacing w:line="276" w:lineRule="auto"/>
        <w:ind w:left="0" w:leftChars="0" w:firstLine="199" w:firstLineChars="95"/>
        <w:rPr>
          <w:rFonts w:hint="eastAsia"/>
          <w:bCs/>
          <w:color w:val="auto"/>
          <w:szCs w:val="21"/>
          <w:highlight w:val="none"/>
        </w:rPr>
      </w:pPr>
      <w:r>
        <w:rPr>
          <w:rFonts w:hint="eastAsia"/>
          <w:bCs/>
          <w:color w:val="auto"/>
          <w:szCs w:val="21"/>
          <w:highlight w:val="none"/>
        </w:rPr>
        <w:t>◆电话：0577-88368171、88368172、88368162、88368163。QQ群：218400025。</w:t>
      </w:r>
    </w:p>
    <w:p>
      <w:pPr>
        <w:spacing w:line="276" w:lineRule="auto"/>
        <w:ind w:left="0" w:leftChars="0" w:firstLine="199" w:firstLineChars="95"/>
        <w:rPr>
          <w:rFonts w:hint="eastAsia"/>
          <w:bCs/>
          <w:color w:val="auto"/>
          <w:szCs w:val="21"/>
          <w:highlight w:val="none"/>
        </w:rPr>
      </w:pPr>
      <w:r>
        <w:rPr>
          <w:rFonts w:hint="eastAsia"/>
          <w:bCs/>
          <w:color w:val="auto"/>
          <w:szCs w:val="21"/>
          <w:highlight w:val="none"/>
        </w:rPr>
        <w:t xml:space="preserve"> ◆地址：温州市学院中路276号温州大学学院路校区行政楼304.305.306室。</w:t>
      </w:r>
    </w:p>
    <w:p>
      <w:pPr>
        <w:spacing w:line="276" w:lineRule="auto"/>
        <w:ind w:left="0" w:leftChars="0" w:firstLine="199" w:firstLineChars="95"/>
        <w:rPr>
          <w:rFonts w:hint="eastAsia"/>
          <w:bCs/>
          <w:color w:val="auto"/>
          <w:szCs w:val="21"/>
          <w:highlight w:val="none"/>
        </w:rPr>
      </w:pPr>
      <w:r>
        <w:rPr>
          <w:rFonts w:hint="eastAsia"/>
          <w:bCs/>
          <w:color w:val="auto"/>
          <w:szCs w:val="21"/>
          <w:highlight w:val="none"/>
        </w:rPr>
        <w:t>◆网址：http://wdcj.wzu.edu.cn</w:t>
      </w:r>
    </w:p>
    <w:p>
      <w:pPr>
        <w:spacing w:line="360" w:lineRule="auto"/>
        <w:ind w:left="0" w:leftChars="0" w:firstLine="267" w:firstLineChars="95"/>
        <w:jc w:val="center"/>
        <w:rPr>
          <w:b/>
          <w:sz w:val="28"/>
          <w:szCs w:val="28"/>
        </w:rPr>
      </w:pPr>
      <w:r>
        <w:rPr>
          <w:rFonts w:hint="eastAsia"/>
          <w:b/>
          <w:sz w:val="28"/>
          <w:szCs w:val="28"/>
          <w:lang w:val="en-US" w:eastAsia="zh-CN"/>
        </w:rPr>
        <w:t xml:space="preserve">一  </w:t>
      </w:r>
      <w:r>
        <w:rPr>
          <w:rFonts w:hint="eastAsia"/>
          <w:b/>
          <w:sz w:val="28"/>
          <w:szCs w:val="28"/>
        </w:rPr>
        <w:t>专业设置</w:t>
      </w:r>
    </w:p>
    <w:p>
      <w:pPr>
        <w:spacing w:line="360" w:lineRule="auto"/>
        <w:ind w:left="0" w:leftChars="0" w:firstLine="142" w:firstLineChars="95"/>
        <w:jc w:val="center"/>
        <w:rPr>
          <w:rFonts w:ascii="宋体" w:hAnsi="宋体" w:cs="宋体"/>
          <w:color w:val="000000"/>
          <w:kern w:val="0"/>
          <w:sz w:val="15"/>
          <w:szCs w:val="15"/>
        </w:rPr>
      </w:pPr>
      <w:r>
        <w:rPr>
          <w:rFonts w:hint="eastAsia" w:ascii="宋体" w:hAnsi="宋体" w:cs="宋体"/>
          <w:color w:val="000000"/>
          <w:kern w:val="0"/>
          <w:sz w:val="15"/>
          <w:szCs w:val="15"/>
        </w:rPr>
        <w:t>（招生</w:t>
      </w:r>
      <w:r>
        <w:rPr>
          <w:rFonts w:ascii="宋体" w:hAnsi="宋体" w:cs="宋体"/>
          <w:color w:val="000000"/>
          <w:kern w:val="0"/>
          <w:sz w:val="15"/>
          <w:szCs w:val="15"/>
        </w:rPr>
        <w:t>专业</w:t>
      </w:r>
      <w:r>
        <w:rPr>
          <w:rFonts w:hint="eastAsia" w:ascii="宋体" w:hAnsi="宋体" w:cs="宋体"/>
          <w:color w:val="000000"/>
          <w:kern w:val="0"/>
          <w:sz w:val="15"/>
          <w:szCs w:val="15"/>
        </w:rPr>
        <w:t>与考试科目等</w:t>
      </w:r>
      <w:r>
        <w:rPr>
          <w:rFonts w:ascii="宋体" w:hAnsi="宋体" w:cs="宋体"/>
          <w:color w:val="000000"/>
          <w:kern w:val="0"/>
          <w:sz w:val="15"/>
          <w:szCs w:val="15"/>
        </w:rPr>
        <w:t>在成考报名</w:t>
      </w:r>
      <w:r>
        <w:rPr>
          <w:rFonts w:hint="eastAsia" w:ascii="宋体" w:hAnsi="宋体" w:cs="宋体"/>
          <w:color w:val="000000"/>
          <w:kern w:val="0"/>
          <w:sz w:val="15"/>
          <w:szCs w:val="15"/>
        </w:rPr>
        <w:t>、考试</w:t>
      </w:r>
      <w:r>
        <w:rPr>
          <w:rFonts w:ascii="宋体" w:hAnsi="宋体" w:cs="宋体"/>
          <w:color w:val="000000"/>
          <w:kern w:val="0"/>
          <w:sz w:val="15"/>
          <w:szCs w:val="15"/>
        </w:rPr>
        <w:t>时如有调整，</w:t>
      </w:r>
      <w:r>
        <w:rPr>
          <w:rFonts w:hint="eastAsia" w:ascii="宋体" w:hAnsi="宋体" w:cs="宋体"/>
          <w:color w:val="000000"/>
          <w:kern w:val="0"/>
          <w:sz w:val="15"/>
          <w:szCs w:val="15"/>
        </w:rPr>
        <w:t>以201</w:t>
      </w:r>
      <w:r>
        <w:rPr>
          <w:rFonts w:hint="eastAsia" w:ascii="宋体" w:hAnsi="宋体" w:cs="宋体"/>
          <w:color w:val="000000"/>
          <w:kern w:val="0"/>
          <w:sz w:val="15"/>
          <w:szCs w:val="15"/>
          <w:lang w:val="en-US" w:eastAsia="zh-CN"/>
        </w:rPr>
        <w:t>8</w:t>
      </w:r>
      <w:r>
        <w:rPr>
          <w:rFonts w:hint="eastAsia" w:ascii="宋体" w:hAnsi="宋体" w:cs="宋体"/>
          <w:color w:val="000000"/>
          <w:kern w:val="0"/>
          <w:sz w:val="15"/>
          <w:szCs w:val="15"/>
        </w:rPr>
        <w:t>年</w:t>
      </w:r>
      <w:r>
        <w:rPr>
          <w:rFonts w:ascii="宋体" w:hAnsi="宋体" w:cs="宋体"/>
          <w:color w:val="000000"/>
          <w:kern w:val="0"/>
          <w:sz w:val="15"/>
          <w:szCs w:val="15"/>
        </w:rPr>
        <w:t>教育部</w:t>
      </w:r>
      <w:r>
        <w:rPr>
          <w:rFonts w:hint="eastAsia" w:ascii="宋体" w:hAnsi="宋体" w:cs="宋体"/>
          <w:color w:val="000000"/>
          <w:kern w:val="0"/>
          <w:sz w:val="15"/>
          <w:szCs w:val="15"/>
        </w:rPr>
        <w:t>、省考试院公布相关招生文件</w:t>
      </w:r>
      <w:r>
        <w:rPr>
          <w:rFonts w:ascii="宋体" w:hAnsi="宋体" w:cs="宋体"/>
          <w:color w:val="000000"/>
          <w:kern w:val="0"/>
          <w:sz w:val="15"/>
          <w:szCs w:val="15"/>
        </w:rPr>
        <w:t>为准</w:t>
      </w:r>
      <w:r>
        <w:rPr>
          <w:rFonts w:hint="eastAsia" w:ascii="宋体" w:hAnsi="宋体" w:cs="宋体"/>
          <w:color w:val="000000"/>
          <w:kern w:val="0"/>
          <w:sz w:val="15"/>
          <w:szCs w:val="15"/>
        </w:rPr>
        <w:t>）</w:t>
      </w:r>
    </w:p>
    <w:p>
      <w:pPr>
        <w:ind w:left="0" w:leftChars="0" w:firstLine="267" w:firstLineChars="95"/>
        <w:jc w:val="left"/>
        <w:rPr>
          <w:b/>
          <w:sz w:val="28"/>
          <w:szCs w:val="28"/>
        </w:rPr>
      </w:pPr>
      <w:r>
        <w:rPr>
          <w:rFonts w:hint="eastAsia"/>
          <w:b/>
          <w:sz w:val="28"/>
          <w:szCs w:val="28"/>
        </w:rPr>
        <w:t xml:space="preserve"> </w:t>
      </w:r>
    </w:p>
    <w:p>
      <w:pPr>
        <w:ind w:left="0" w:leftChars="0" w:firstLine="422" w:firstLineChars="150"/>
        <w:jc w:val="left"/>
        <w:rPr>
          <w:b/>
          <w:sz w:val="28"/>
          <w:szCs w:val="28"/>
        </w:rPr>
      </w:pPr>
      <w:r>
        <w:rPr>
          <w:rFonts w:hint="eastAsia"/>
          <w:b/>
          <w:sz w:val="28"/>
          <w:szCs w:val="28"/>
        </w:rPr>
        <w:t>★高起专：</w:t>
      </w:r>
    </w:p>
    <w:p>
      <w:pPr>
        <w:spacing w:line="360" w:lineRule="auto"/>
        <w:ind w:left="0" w:leftChars="0" w:firstLine="422" w:firstLineChars="150"/>
        <w:jc w:val="left"/>
        <w:rPr>
          <w:rFonts w:ascii="宋体" w:hAnsi="宋体" w:cs="宋体"/>
          <w:b/>
          <w:color w:val="000000"/>
          <w:kern w:val="0"/>
          <w:sz w:val="22"/>
          <w:szCs w:val="22"/>
          <w:u w:val="single"/>
        </w:rPr>
      </w:pPr>
      <w:r>
        <w:rPr>
          <w:rFonts w:hint="eastAsia"/>
          <w:b/>
          <w:sz w:val="28"/>
          <w:szCs w:val="28"/>
          <w:u w:val="single"/>
        </w:rPr>
        <w:t>文史类</w:t>
      </w:r>
      <w:r>
        <w:rPr>
          <w:rFonts w:hint="eastAsia" w:ascii="宋体" w:hAnsi="宋体" w:cs="宋体"/>
          <w:color w:val="000000"/>
          <w:kern w:val="0"/>
          <w:sz w:val="15"/>
          <w:szCs w:val="15"/>
        </w:rPr>
        <w:t>（考试科目：数学（文），语文，英语）：</w:t>
      </w:r>
    </w:p>
    <w:p>
      <w:pPr>
        <w:widowControl/>
        <w:spacing w:line="360" w:lineRule="auto"/>
        <w:ind w:left="0" w:leftChars="0" w:firstLine="330" w:firstLineChars="150"/>
        <w:rPr>
          <w:rFonts w:hint="eastAsia" w:ascii="宋体" w:hAnsi="宋体" w:cs="宋体"/>
          <w:b w:val="0"/>
          <w:bCs/>
          <w:color w:val="000000"/>
          <w:kern w:val="0"/>
          <w:sz w:val="22"/>
          <w:szCs w:val="22"/>
        </w:rPr>
      </w:pPr>
      <w:r>
        <w:rPr>
          <w:rFonts w:hint="eastAsia" w:ascii="宋体" w:hAnsi="宋体" w:cs="宋体"/>
          <w:b w:val="0"/>
          <w:bCs/>
          <w:color w:val="000000"/>
          <w:kern w:val="0"/>
          <w:sz w:val="22"/>
          <w:szCs w:val="22"/>
        </w:rPr>
        <w:t xml:space="preserve">学前教育  会计  工商企业管理  电子商务  汉语  行政管理  </w:t>
      </w:r>
    </w:p>
    <w:p>
      <w:pPr>
        <w:spacing w:line="360" w:lineRule="auto"/>
        <w:ind w:left="0" w:leftChars="0" w:firstLine="422" w:firstLineChars="150"/>
        <w:jc w:val="left"/>
        <w:rPr>
          <w:rFonts w:ascii="宋体" w:hAnsi="宋体" w:cs="宋体"/>
          <w:color w:val="000000"/>
          <w:kern w:val="0"/>
          <w:sz w:val="15"/>
          <w:szCs w:val="15"/>
        </w:rPr>
      </w:pPr>
      <w:r>
        <w:rPr>
          <w:rFonts w:hint="eastAsia"/>
          <w:b/>
          <w:sz w:val="28"/>
          <w:szCs w:val="28"/>
          <w:u w:val="single"/>
        </w:rPr>
        <w:t>艺术文</w:t>
      </w:r>
      <w:r>
        <w:rPr>
          <w:rFonts w:hint="eastAsia" w:ascii="宋体" w:hAnsi="宋体" w:cs="宋体"/>
          <w:color w:val="000000"/>
          <w:kern w:val="0"/>
          <w:sz w:val="15"/>
          <w:szCs w:val="15"/>
        </w:rPr>
        <w:t>（考试科目：数学（文），语文，英语）：</w:t>
      </w:r>
    </w:p>
    <w:p>
      <w:pPr>
        <w:spacing w:line="360" w:lineRule="auto"/>
        <w:ind w:left="0" w:leftChars="0" w:firstLine="330" w:firstLineChars="150"/>
        <w:jc w:val="left"/>
        <w:rPr>
          <w:rFonts w:hint="eastAsia" w:ascii="宋体" w:hAnsi="宋体" w:cs="宋体"/>
          <w:b w:val="0"/>
          <w:bCs/>
          <w:color w:val="000000"/>
          <w:kern w:val="0"/>
          <w:sz w:val="22"/>
          <w:szCs w:val="22"/>
        </w:rPr>
      </w:pPr>
      <w:r>
        <w:rPr>
          <w:rFonts w:hint="eastAsia" w:ascii="宋体" w:hAnsi="宋体" w:cs="宋体"/>
          <w:b w:val="0"/>
          <w:bCs/>
          <w:color w:val="000000"/>
          <w:kern w:val="0"/>
          <w:sz w:val="22"/>
          <w:szCs w:val="22"/>
        </w:rPr>
        <w:t xml:space="preserve">艺术设计   环境艺术设计    音乐教育    美术教育   </w:t>
      </w:r>
    </w:p>
    <w:p>
      <w:pPr>
        <w:spacing w:line="360" w:lineRule="auto"/>
        <w:ind w:left="0" w:leftChars="0" w:firstLine="422" w:firstLineChars="150"/>
        <w:jc w:val="left"/>
        <w:rPr>
          <w:rFonts w:ascii="宋体" w:hAnsi="宋体" w:cs="宋体"/>
          <w:b/>
          <w:color w:val="000000"/>
          <w:kern w:val="0"/>
          <w:sz w:val="22"/>
          <w:szCs w:val="22"/>
          <w:u w:val="single"/>
        </w:rPr>
      </w:pPr>
      <w:r>
        <w:rPr>
          <w:rFonts w:hint="eastAsia"/>
          <w:b/>
          <w:sz w:val="28"/>
          <w:szCs w:val="28"/>
          <w:u w:val="single"/>
        </w:rPr>
        <w:t>理工类</w:t>
      </w:r>
      <w:r>
        <w:rPr>
          <w:rFonts w:hint="eastAsia" w:ascii="宋体" w:hAnsi="宋体" w:cs="宋体"/>
          <w:color w:val="000000"/>
          <w:kern w:val="0"/>
          <w:sz w:val="15"/>
          <w:szCs w:val="15"/>
        </w:rPr>
        <w:t>（考试科目：数学（理），语文，英语）</w:t>
      </w:r>
    </w:p>
    <w:p>
      <w:pPr>
        <w:widowControl/>
        <w:spacing w:line="360" w:lineRule="auto"/>
        <w:ind w:left="0" w:leftChars="0" w:firstLine="330" w:firstLineChars="150"/>
        <w:rPr>
          <w:rFonts w:hint="eastAsia" w:ascii="宋体" w:hAnsi="宋体" w:cs="宋体"/>
          <w:b w:val="0"/>
          <w:bCs/>
          <w:color w:val="000000"/>
          <w:kern w:val="0"/>
          <w:sz w:val="22"/>
          <w:szCs w:val="22"/>
        </w:rPr>
      </w:pPr>
      <w:r>
        <w:rPr>
          <w:rFonts w:hint="eastAsia" w:ascii="宋体" w:hAnsi="宋体" w:cs="宋体"/>
          <w:b w:val="0"/>
          <w:bCs/>
          <w:color w:val="000000"/>
          <w:kern w:val="0"/>
          <w:sz w:val="22"/>
          <w:szCs w:val="22"/>
        </w:rPr>
        <w:t>计算机应用技术   会计   工商企业管理  电子商务  行政管理</w:t>
      </w:r>
    </w:p>
    <w:p>
      <w:pPr>
        <w:widowControl/>
        <w:spacing w:line="360" w:lineRule="auto"/>
        <w:ind w:left="0" w:leftChars="0" w:firstLine="422" w:firstLineChars="150"/>
        <w:rPr>
          <w:b/>
          <w:sz w:val="28"/>
          <w:szCs w:val="28"/>
        </w:rPr>
      </w:pPr>
      <w:r>
        <w:rPr>
          <w:rFonts w:hint="eastAsia" w:ascii="宋体" w:hAnsi="宋体"/>
          <w:b/>
          <w:sz w:val="28"/>
          <w:szCs w:val="28"/>
        </w:rPr>
        <w:t>★</w:t>
      </w:r>
      <w:r>
        <w:rPr>
          <w:rFonts w:hint="eastAsia"/>
          <w:b/>
          <w:sz w:val="28"/>
          <w:szCs w:val="28"/>
        </w:rPr>
        <w:t>专升本：</w:t>
      </w:r>
    </w:p>
    <w:p>
      <w:pPr>
        <w:widowControl/>
        <w:spacing w:line="360" w:lineRule="auto"/>
        <w:ind w:left="0" w:leftChars="0" w:firstLine="422" w:firstLineChars="150"/>
        <w:jc w:val="left"/>
        <w:rPr>
          <w:rFonts w:hint="eastAsia" w:ascii="宋体" w:hAnsi="宋体" w:cs="宋体"/>
          <w:b w:val="0"/>
          <w:bCs/>
          <w:color w:val="000000"/>
          <w:kern w:val="0"/>
          <w:sz w:val="22"/>
          <w:szCs w:val="22"/>
        </w:rPr>
      </w:pPr>
      <w:r>
        <w:rPr>
          <w:rFonts w:hint="eastAsia"/>
          <w:b/>
          <w:sz w:val="28"/>
          <w:szCs w:val="28"/>
        </w:rPr>
        <w:t>法学类</w:t>
      </w:r>
      <w:r>
        <w:rPr>
          <w:rFonts w:hint="eastAsia" w:ascii="宋体" w:hAnsi="宋体" w:cs="宋体"/>
          <w:color w:val="000000"/>
          <w:kern w:val="0"/>
          <w:sz w:val="22"/>
          <w:szCs w:val="22"/>
        </w:rPr>
        <w:t>（</w:t>
      </w:r>
      <w:r>
        <w:rPr>
          <w:rFonts w:hint="eastAsia" w:ascii="宋体" w:hAnsi="宋体" w:cs="宋体"/>
          <w:color w:val="000000"/>
          <w:kern w:val="0"/>
          <w:sz w:val="15"/>
          <w:szCs w:val="15"/>
        </w:rPr>
        <w:t>考试科目：民法、政治、英语</w:t>
      </w:r>
      <w:r>
        <w:rPr>
          <w:rFonts w:hint="eastAsia" w:ascii="宋体" w:hAnsi="宋体" w:cs="宋体"/>
          <w:color w:val="000000"/>
          <w:kern w:val="0"/>
          <w:sz w:val="22"/>
          <w:szCs w:val="22"/>
        </w:rPr>
        <w:t>）：</w:t>
      </w:r>
      <w:r>
        <w:rPr>
          <w:rFonts w:hint="eastAsia" w:ascii="宋体" w:hAnsi="宋体" w:cs="宋体"/>
          <w:b w:val="0"/>
          <w:bCs/>
          <w:color w:val="000000"/>
          <w:kern w:val="0"/>
          <w:sz w:val="22"/>
          <w:szCs w:val="22"/>
        </w:rPr>
        <w:t>法学</w:t>
      </w:r>
    </w:p>
    <w:p>
      <w:pPr>
        <w:widowControl/>
        <w:spacing w:line="360" w:lineRule="auto"/>
        <w:ind w:left="0" w:leftChars="0" w:firstLine="422" w:firstLineChars="150"/>
        <w:rPr>
          <w:rFonts w:hint="eastAsia" w:ascii="宋体" w:hAnsi="宋体" w:cs="宋体"/>
          <w:b w:val="0"/>
          <w:bCs/>
          <w:color w:val="000000"/>
          <w:kern w:val="0"/>
          <w:sz w:val="22"/>
          <w:szCs w:val="22"/>
        </w:rPr>
      </w:pPr>
      <w:r>
        <w:rPr>
          <w:rFonts w:hint="eastAsia"/>
          <w:b/>
          <w:sz w:val="28"/>
          <w:szCs w:val="28"/>
        </w:rPr>
        <w:t>教育学类</w:t>
      </w:r>
      <w:r>
        <w:rPr>
          <w:rFonts w:hint="eastAsia" w:ascii="宋体" w:hAnsi="宋体" w:cs="宋体"/>
          <w:color w:val="000000"/>
          <w:kern w:val="0"/>
          <w:sz w:val="22"/>
          <w:szCs w:val="22"/>
        </w:rPr>
        <w:t>（</w:t>
      </w:r>
      <w:r>
        <w:rPr>
          <w:rFonts w:hint="eastAsia" w:ascii="宋体" w:hAnsi="宋体" w:cs="宋体"/>
          <w:color w:val="000000"/>
          <w:kern w:val="0"/>
          <w:sz w:val="15"/>
          <w:szCs w:val="15"/>
        </w:rPr>
        <w:t>考试科目：教育理论，政治，英语</w:t>
      </w:r>
      <w:r>
        <w:rPr>
          <w:rFonts w:hint="eastAsia" w:ascii="宋体" w:hAnsi="宋体" w:cs="宋体"/>
          <w:color w:val="000000"/>
          <w:kern w:val="0"/>
          <w:sz w:val="22"/>
          <w:szCs w:val="22"/>
        </w:rPr>
        <w:t>）：</w:t>
      </w:r>
      <w:r>
        <w:rPr>
          <w:rFonts w:hint="eastAsia" w:ascii="宋体" w:hAnsi="宋体" w:cs="宋体"/>
          <w:b w:val="0"/>
          <w:bCs/>
          <w:color w:val="000000"/>
          <w:kern w:val="0"/>
          <w:sz w:val="22"/>
          <w:szCs w:val="22"/>
        </w:rPr>
        <w:t>小学教育、体育教育、学前教育</w:t>
      </w:r>
    </w:p>
    <w:p>
      <w:pPr>
        <w:widowControl/>
        <w:spacing w:line="360" w:lineRule="auto"/>
        <w:ind w:left="0" w:leftChars="0" w:firstLine="422" w:firstLineChars="150"/>
        <w:jc w:val="left"/>
        <w:rPr>
          <w:rFonts w:hint="eastAsia" w:ascii="宋体" w:hAnsi="宋体" w:cs="宋体"/>
          <w:b w:val="0"/>
          <w:bCs/>
          <w:color w:val="000000"/>
          <w:kern w:val="0"/>
          <w:sz w:val="22"/>
          <w:szCs w:val="22"/>
        </w:rPr>
      </w:pPr>
      <w:r>
        <w:rPr>
          <w:rFonts w:hint="eastAsia"/>
          <w:b/>
          <w:sz w:val="28"/>
          <w:szCs w:val="28"/>
        </w:rPr>
        <w:t>经济管理类</w:t>
      </w:r>
      <w:r>
        <w:rPr>
          <w:rFonts w:hint="eastAsia" w:ascii="宋体" w:hAnsi="宋体" w:cs="宋体"/>
          <w:color w:val="000000"/>
          <w:kern w:val="0"/>
          <w:sz w:val="15"/>
          <w:szCs w:val="15"/>
        </w:rPr>
        <w:t>（考试科目：高数（二），政治，英语）：</w:t>
      </w:r>
      <w:r>
        <w:rPr>
          <w:rFonts w:hint="eastAsia" w:ascii="宋体" w:hAnsi="宋体" w:cs="宋体"/>
          <w:b w:val="0"/>
          <w:bCs/>
          <w:color w:val="000000"/>
          <w:kern w:val="0"/>
          <w:sz w:val="22"/>
          <w:szCs w:val="22"/>
        </w:rPr>
        <w:t>信息管理与信息系统、国际经济与贸易、工商管理、财务管理、市场营销、行政管理</w:t>
      </w:r>
    </w:p>
    <w:p>
      <w:pPr>
        <w:widowControl/>
        <w:spacing w:line="360" w:lineRule="auto"/>
        <w:ind w:left="0" w:leftChars="0" w:firstLine="422" w:firstLineChars="150"/>
        <w:rPr>
          <w:rFonts w:ascii="宋体" w:hAnsi="宋体" w:cs="宋体"/>
          <w:b w:val="0"/>
          <w:bCs/>
          <w:color w:val="000000"/>
          <w:kern w:val="0"/>
          <w:sz w:val="22"/>
          <w:szCs w:val="22"/>
        </w:rPr>
      </w:pPr>
      <w:r>
        <w:rPr>
          <w:rFonts w:hint="eastAsia"/>
          <w:b/>
          <w:sz w:val="28"/>
          <w:szCs w:val="28"/>
        </w:rPr>
        <w:t>理工类</w:t>
      </w:r>
      <w:r>
        <w:rPr>
          <w:rFonts w:hint="eastAsia" w:ascii="宋体" w:hAnsi="宋体" w:cs="宋体"/>
          <w:color w:val="000000"/>
          <w:kern w:val="0"/>
          <w:sz w:val="15"/>
          <w:szCs w:val="15"/>
        </w:rPr>
        <w:t>（考试科目：高数（一），政治，英语）：</w:t>
      </w:r>
      <w:r>
        <w:rPr>
          <w:rFonts w:hint="eastAsia" w:ascii="宋体" w:hAnsi="宋体" w:cs="宋体"/>
          <w:b w:val="0"/>
          <w:bCs/>
          <w:color w:val="000000"/>
          <w:kern w:val="0"/>
          <w:sz w:val="22"/>
          <w:szCs w:val="22"/>
        </w:rPr>
        <w:t>机械工程、电子信息工程、计算机科学与技术、土木工程、电气工程及其自动化、电子信息科学与技术</w:t>
      </w:r>
    </w:p>
    <w:p>
      <w:pPr>
        <w:widowControl/>
        <w:spacing w:line="360" w:lineRule="auto"/>
        <w:ind w:left="0" w:leftChars="0" w:firstLine="422" w:firstLineChars="150"/>
        <w:jc w:val="left"/>
        <w:rPr>
          <w:rFonts w:hint="eastAsia" w:ascii="宋体" w:hAnsi="宋体" w:cs="宋体"/>
          <w:b w:val="0"/>
          <w:bCs/>
          <w:color w:val="000000"/>
          <w:kern w:val="0"/>
          <w:sz w:val="22"/>
          <w:szCs w:val="22"/>
        </w:rPr>
      </w:pPr>
      <w:r>
        <w:rPr>
          <w:rFonts w:hint="eastAsia"/>
          <w:b/>
          <w:sz w:val="28"/>
          <w:szCs w:val="28"/>
        </w:rPr>
        <w:t>文史、中医类</w:t>
      </w:r>
      <w:r>
        <w:rPr>
          <w:rFonts w:hint="eastAsia" w:ascii="宋体" w:hAnsi="宋体" w:cs="宋体"/>
          <w:color w:val="000000"/>
          <w:kern w:val="0"/>
          <w:sz w:val="15"/>
          <w:szCs w:val="15"/>
        </w:rPr>
        <w:t>（考试科目：大学语文，政治，英语）：</w:t>
      </w:r>
      <w:r>
        <w:rPr>
          <w:rFonts w:hint="eastAsia" w:ascii="宋体" w:hAnsi="宋体" w:cs="宋体"/>
          <w:b w:val="0"/>
          <w:bCs/>
          <w:color w:val="000000"/>
          <w:kern w:val="0"/>
          <w:sz w:val="22"/>
          <w:szCs w:val="22"/>
        </w:rPr>
        <w:t>广告学、汉语言文学、英语</w:t>
      </w:r>
    </w:p>
    <w:p>
      <w:pPr>
        <w:widowControl/>
        <w:spacing w:line="360" w:lineRule="auto"/>
        <w:ind w:left="0" w:leftChars="0" w:firstLine="422" w:firstLineChars="150"/>
        <w:jc w:val="left"/>
        <w:rPr>
          <w:rFonts w:ascii="宋体" w:hAnsi="宋体" w:cs="宋体"/>
          <w:b w:val="0"/>
          <w:bCs/>
          <w:color w:val="000000"/>
          <w:kern w:val="0"/>
          <w:sz w:val="22"/>
          <w:szCs w:val="22"/>
        </w:rPr>
      </w:pPr>
      <w:r>
        <w:rPr>
          <w:rFonts w:hint="eastAsia"/>
          <w:b/>
          <w:sz w:val="28"/>
          <w:szCs w:val="28"/>
        </w:rPr>
        <w:t>艺术类</w:t>
      </w:r>
      <w:r>
        <w:rPr>
          <w:rFonts w:hint="eastAsia" w:ascii="宋体" w:hAnsi="宋体" w:cs="宋体"/>
          <w:color w:val="000000"/>
          <w:kern w:val="0"/>
          <w:sz w:val="22"/>
          <w:szCs w:val="22"/>
        </w:rPr>
        <w:t>（</w:t>
      </w:r>
      <w:r>
        <w:rPr>
          <w:rFonts w:hint="eastAsia" w:ascii="宋体" w:hAnsi="宋体" w:cs="宋体"/>
          <w:color w:val="000000"/>
          <w:kern w:val="0"/>
          <w:sz w:val="15"/>
          <w:szCs w:val="15"/>
        </w:rPr>
        <w:t>考试科目：艺术概论，政治，英语</w:t>
      </w:r>
      <w:r>
        <w:rPr>
          <w:rFonts w:hint="eastAsia" w:ascii="宋体" w:hAnsi="宋体" w:cs="宋体"/>
          <w:color w:val="000000"/>
          <w:kern w:val="0"/>
          <w:sz w:val="22"/>
          <w:szCs w:val="22"/>
        </w:rPr>
        <w:t>）：</w:t>
      </w:r>
      <w:r>
        <w:rPr>
          <w:rFonts w:hint="eastAsia" w:ascii="宋体" w:hAnsi="宋体" w:cs="宋体"/>
          <w:b w:val="0"/>
          <w:bCs/>
          <w:color w:val="000000"/>
          <w:kern w:val="0"/>
          <w:sz w:val="22"/>
          <w:szCs w:val="22"/>
        </w:rPr>
        <w:t>美术学、音乐学、视觉传达设计、环境设计、服装与服饰设计</w:t>
      </w:r>
    </w:p>
    <w:p>
      <w:pPr>
        <w:spacing w:line="360" w:lineRule="auto"/>
        <w:ind w:left="0" w:leftChars="0" w:firstLine="267" w:firstLineChars="95"/>
        <w:jc w:val="center"/>
        <w:rPr>
          <w:rFonts w:hint="eastAsia"/>
          <w:b/>
          <w:sz w:val="28"/>
          <w:szCs w:val="28"/>
          <w:lang w:val="en-US" w:eastAsia="zh-CN"/>
        </w:rPr>
      </w:pPr>
      <w:r>
        <w:rPr>
          <w:rFonts w:hint="eastAsia"/>
          <w:b/>
          <w:sz w:val="28"/>
          <w:szCs w:val="28"/>
          <w:lang w:val="en-US" w:eastAsia="zh-CN"/>
        </w:rPr>
        <w:t>二  收费</w:t>
      </w:r>
    </w:p>
    <w:p>
      <w:pPr>
        <w:spacing w:line="276" w:lineRule="auto"/>
        <w:ind w:left="0" w:leftChars="0" w:firstLine="199" w:firstLineChars="95"/>
        <w:rPr>
          <w:rFonts w:hint="eastAsia"/>
          <w:bCs/>
          <w:szCs w:val="21"/>
          <w:lang w:val="en-US" w:eastAsia="zh-CN"/>
        </w:rPr>
      </w:pPr>
    </w:p>
    <w:p>
      <w:pPr>
        <w:spacing w:line="276" w:lineRule="auto"/>
        <w:ind w:left="0" w:leftChars="0" w:firstLine="420" w:firstLineChars="200"/>
        <w:rPr>
          <w:rFonts w:hint="eastAsia"/>
          <w:bCs/>
          <w:color w:val="auto"/>
          <w:szCs w:val="21"/>
          <w:highlight w:val="none"/>
        </w:rPr>
      </w:pPr>
      <w:r>
        <w:rPr>
          <w:rFonts w:hint="eastAsia"/>
          <w:bCs/>
          <w:color w:val="auto"/>
          <w:szCs w:val="21"/>
          <w:highlight w:val="none"/>
          <w:lang w:eastAsia="zh-CN"/>
        </w:rPr>
        <w:t>（</w:t>
      </w:r>
      <w:r>
        <w:rPr>
          <w:rFonts w:hint="eastAsia"/>
          <w:bCs/>
          <w:color w:val="auto"/>
          <w:szCs w:val="21"/>
          <w:highlight w:val="none"/>
          <w:lang w:val="en-US" w:eastAsia="zh-CN"/>
        </w:rPr>
        <w:t>一）</w:t>
      </w:r>
      <w:r>
        <w:rPr>
          <w:rFonts w:hint="eastAsia"/>
          <w:bCs/>
          <w:color w:val="auto"/>
          <w:szCs w:val="21"/>
          <w:highlight w:val="none"/>
        </w:rPr>
        <w:t>学分标准：根据专业培养方案进行学分设定。最高计费学分：学制2.5年、学习形式函授、业余为75学分，其他学制按每学年平均25学分类推。学生毕业时所注册专业教学计划规定的最低毕业学分在计费学分以内的，按各专业最低毕业学分计收学分学费；专业最低毕业学分超出计费学分的，超出部分免收学分学费。</w:t>
      </w:r>
    </w:p>
    <w:p>
      <w:pPr>
        <w:spacing w:line="276" w:lineRule="auto"/>
        <w:ind w:left="0" w:leftChars="0" w:firstLine="420" w:firstLineChars="200"/>
        <w:rPr>
          <w:rFonts w:hint="eastAsia"/>
          <w:bCs/>
          <w:color w:val="auto"/>
          <w:szCs w:val="21"/>
          <w:highlight w:val="none"/>
        </w:rPr>
      </w:pPr>
      <w:r>
        <w:rPr>
          <w:rFonts w:hint="eastAsia"/>
          <w:bCs/>
          <w:color w:val="auto"/>
          <w:szCs w:val="21"/>
          <w:highlight w:val="none"/>
          <w:lang w:eastAsia="zh-CN"/>
        </w:rPr>
        <w:t>（</w:t>
      </w:r>
      <w:r>
        <w:rPr>
          <w:rFonts w:hint="eastAsia"/>
          <w:bCs/>
          <w:color w:val="auto"/>
          <w:szCs w:val="21"/>
          <w:highlight w:val="none"/>
          <w:lang w:val="en-US" w:eastAsia="zh-CN"/>
        </w:rPr>
        <w:t>二）</w:t>
      </w:r>
      <w:r>
        <w:rPr>
          <w:rFonts w:hint="eastAsia"/>
          <w:bCs/>
          <w:color w:val="auto"/>
          <w:szCs w:val="21"/>
          <w:highlight w:val="none"/>
        </w:rPr>
        <w:t>收费标准：函授、业余学习形式，不收取专业学费。根据《浙江省物价局 浙江省财政厅 浙江省教育厅关于调整成人高等教育收费标准的通知》【浙价费〔2014〕245号】文件规定折算各科类学分收费标准。工科类、医学类专业130元/学分;艺术类165元/学分；其他专业115元/学分。</w:t>
      </w:r>
    </w:p>
    <w:p>
      <w:pPr>
        <w:spacing w:line="276" w:lineRule="auto"/>
        <w:ind w:left="0" w:leftChars="0" w:firstLine="420" w:firstLineChars="200"/>
        <w:rPr>
          <w:rFonts w:hint="eastAsia"/>
          <w:bCs/>
          <w:color w:val="auto"/>
          <w:szCs w:val="21"/>
          <w:highlight w:val="none"/>
        </w:rPr>
      </w:pPr>
      <w:r>
        <w:rPr>
          <w:rFonts w:hint="eastAsia"/>
          <w:bCs/>
          <w:color w:val="auto"/>
          <w:szCs w:val="21"/>
          <w:highlight w:val="none"/>
          <w:lang w:eastAsia="zh-CN"/>
        </w:rPr>
        <w:t>（</w:t>
      </w:r>
      <w:r>
        <w:rPr>
          <w:rFonts w:hint="eastAsia"/>
          <w:bCs/>
          <w:color w:val="auto"/>
          <w:szCs w:val="21"/>
          <w:highlight w:val="none"/>
          <w:lang w:val="en-US" w:eastAsia="zh-CN"/>
        </w:rPr>
        <w:t>三）</w:t>
      </w:r>
      <w:r>
        <w:rPr>
          <w:rFonts w:hint="eastAsia"/>
          <w:bCs/>
          <w:color w:val="auto"/>
          <w:szCs w:val="21"/>
          <w:highlight w:val="none"/>
        </w:rPr>
        <w:t>收费方式：采用预收制，每学年收一次。学生每学年在学校规定时间内按各专业教学计划所安排的课程学分预缴学分学费。学生应在每学年第一学期注册前足额缴纳学费，学校每学年结束时按学生选读课程学分结算学费，学费如有结余或不足转入下一学年一并计算。毕业前结清所有学费。</w:t>
      </w:r>
    </w:p>
    <w:p>
      <w:pPr>
        <w:spacing w:line="276" w:lineRule="auto"/>
        <w:ind w:left="0" w:leftChars="0" w:firstLine="420" w:firstLineChars="200"/>
        <w:rPr>
          <w:rFonts w:hint="eastAsia"/>
          <w:bCs/>
          <w:color w:val="auto"/>
          <w:szCs w:val="21"/>
          <w:highlight w:val="none"/>
          <w:lang w:val="en-US" w:eastAsia="zh-CN"/>
        </w:rPr>
      </w:pPr>
      <w:r>
        <w:rPr>
          <w:rFonts w:hint="eastAsia"/>
          <w:bCs/>
          <w:color w:val="auto"/>
          <w:szCs w:val="21"/>
          <w:highlight w:val="none"/>
          <w:lang w:val="en-US" w:eastAsia="zh-CN"/>
        </w:rPr>
        <w:t>学费如有调整，以省批文件为准。</w:t>
      </w:r>
    </w:p>
    <w:p>
      <w:pPr>
        <w:spacing w:line="360" w:lineRule="auto"/>
        <w:ind w:left="0" w:leftChars="0" w:firstLine="267" w:firstLineChars="95"/>
        <w:jc w:val="center"/>
        <w:rPr>
          <w:rFonts w:hint="eastAsia"/>
          <w:b/>
          <w:sz w:val="28"/>
          <w:szCs w:val="28"/>
          <w:lang w:val="en-US" w:eastAsia="zh-CN"/>
        </w:rPr>
      </w:pPr>
      <w:r>
        <w:rPr>
          <w:rFonts w:hint="eastAsia"/>
          <w:b/>
          <w:sz w:val="28"/>
          <w:szCs w:val="28"/>
          <w:lang w:val="en-US" w:eastAsia="zh-CN"/>
        </w:rPr>
        <w:t>三  报考与录取</w:t>
      </w:r>
    </w:p>
    <w:p>
      <w:pPr>
        <w:spacing w:line="276" w:lineRule="auto"/>
        <w:ind w:left="0" w:leftChars="0" w:firstLine="420" w:firstLineChars="200"/>
        <w:rPr>
          <w:rFonts w:hint="eastAsia"/>
          <w:bCs/>
          <w:color w:val="auto"/>
          <w:szCs w:val="21"/>
          <w:highlight w:val="none"/>
        </w:rPr>
      </w:pPr>
      <w:r>
        <w:rPr>
          <w:rFonts w:hint="eastAsia"/>
          <w:bCs/>
          <w:color w:val="auto"/>
          <w:szCs w:val="21"/>
          <w:highlight w:val="none"/>
          <w:lang w:eastAsia="zh-CN"/>
        </w:rPr>
        <w:t>（</w:t>
      </w:r>
      <w:r>
        <w:rPr>
          <w:rFonts w:hint="eastAsia"/>
          <w:bCs/>
          <w:color w:val="auto"/>
          <w:szCs w:val="21"/>
          <w:highlight w:val="none"/>
          <w:lang w:val="en-US" w:eastAsia="zh-CN"/>
        </w:rPr>
        <w:t>一）</w:t>
      </w:r>
      <w:r>
        <w:rPr>
          <w:rFonts w:hint="eastAsia"/>
          <w:bCs/>
          <w:color w:val="auto"/>
          <w:szCs w:val="21"/>
          <w:highlight w:val="none"/>
        </w:rPr>
        <w:t>报考条件：报考专升本的考生必须是已取得经教育部审定核准的国民教育系列高等学校、高等教育自学考试机构颁发的专科毕业证书或以上证书的人员。报考专科的考生应具有高中毕业文化程度或同等学力或年满18周岁。</w:t>
      </w:r>
    </w:p>
    <w:p>
      <w:pPr>
        <w:spacing w:line="276" w:lineRule="auto"/>
        <w:ind w:left="0" w:leftChars="0" w:firstLine="420" w:firstLineChars="200"/>
        <w:rPr>
          <w:rFonts w:hint="eastAsia"/>
          <w:bCs/>
          <w:color w:val="auto"/>
          <w:szCs w:val="21"/>
          <w:highlight w:val="none"/>
        </w:rPr>
      </w:pPr>
      <w:r>
        <w:rPr>
          <w:rFonts w:hint="eastAsia"/>
          <w:bCs/>
          <w:color w:val="auto"/>
          <w:szCs w:val="21"/>
          <w:highlight w:val="none"/>
          <w:lang w:eastAsia="zh-CN"/>
        </w:rPr>
        <w:t>（</w:t>
      </w:r>
      <w:r>
        <w:rPr>
          <w:rFonts w:hint="eastAsia"/>
          <w:bCs/>
          <w:color w:val="auto"/>
          <w:szCs w:val="21"/>
          <w:highlight w:val="none"/>
          <w:lang w:val="en-US" w:eastAsia="zh-CN"/>
        </w:rPr>
        <w:t>二）</w:t>
      </w:r>
      <w:r>
        <w:rPr>
          <w:rFonts w:hint="eastAsia"/>
          <w:bCs/>
          <w:color w:val="auto"/>
          <w:szCs w:val="21"/>
          <w:highlight w:val="none"/>
        </w:rPr>
        <w:t>报名方法（具体时间以201</w:t>
      </w:r>
      <w:r>
        <w:rPr>
          <w:rFonts w:hint="eastAsia"/>
          <w:bCs/>
          <w:color w:val="auto"/>
          <w:szCs w:val="21"/>
          <w:highlight w:val="none"/>
          <w:lang w:val="en-US" w:eastAsia="zh-CN"/>
        </w:rPr>
        <w:t>8年</w:t>
      </w:r>
      <w:r>
        <w:rPr>
          <w:rFonts w:hint="eastAsia"/>
          <w:bCs/>
          <w:color w:val="auto"/>
          <w:szCs w:val="21"/>
          <w:highlight w:val="none"/>
        </w:rPr>
        <w:t>招生文件为准）：考生于8月中下旬登陆浙江招生网（http://www.zjzs.net）进行网上报名；9月到指定地点进行资格审查、电子摄像、信息确认；10月参加成人高考。</w:t>
      </w:r>
    </w:p>
    <w:p>
      <w:pPr>
        <w:spacing w:line="276" w:lineRule="auto"/>
        <w:ind w:left="0" w:leftChars="0" w:firstLine="420" w:firstLineChars="200"/>
        <w:rPr>
          <w:rFonts w:hint="eastAsia"/>
          <w:bCs/>
          <w:color w:val="auto"/>
          <w:szCs w:val="21"/>
          <w:highlight w:val="none"/>
        </w:rPr>
      </w:pPr>
      <w:r>
        <w:rPr>
          <w:rFonts w:hint="eastAsia"/>
          <w:bCs/>
          <w:color w:val="auto"/>
          <w:szCs w:val="21"/>
          <w:highlight w:val="none"/>
          <w:lang w:val="en-US" w:eastAsia="zh-CN"/>
        </w:rPr>
        <w:t>(三）</w:t>
      </w:r>
      <w:r>
        <w:rPr>
          <w:rFonts w:hint="eastAsia"/>
          <w:bCs/>
          <w:color w:val="auto"/>
          <w:szCs w:val="21"/>
          <w:highlight w:val="none"/>
        </w:rPr>
        <w:t>专业加试：1.加试专业：专升本需要加试专业为音乐学、美术学、视觉传达设计、环境设计、服装与服饰设计；高起专需要加试专业为艺术设计、环境艺术设计、音乐教育、美术教育。2.以上专业考生届时携带本人身份证及全国统考准考证，到温州市学院中路276号温州大学成人教育学院参加专业</w:t>
      </w:r>
      <w:r>
        <w:rPr>
          <w:rFonts w:hint="eastAsia"/>
          <w:bCs/>
          <w:color w:val="auto"/>
          <w:szCs w:val="21"/>
          <w:highlight w:val="none"/>
          <w:lang w:val="en-US" w:eastAsia="zh-CN"/>
        </w:rPr>
        <w:t>加</w:t>
      </w:r>
      <w:r>
        <w:rPr>
          <w:rFonts w:hint="eastAsia"/>
          <w:bCs/>
          <w:color w:val="auto"/>
          <w:szCs w:val="21"/>
          <w:highlight w:val="none"/>
        </w:rPr>
        <w:t>试（以http://wdcj.wzu.edu.cn通知为准）。</w:t>
      </w:r>
    </w:p>
    <w:p>
      <w:pPr>
        <w:spacing w:line="276" w:lineRule="auto"/>
        <w:ind w:left="0" w:leftChars="0" w:firstLine="420" w:firstLineChars="200"/>
        <w:rPr>
          <w:rFonts w:hint="eastAsia"/>
          <w:bCs/>
          <w:color w:val="auto"/>
          <w:szCs w:val="21"/>
          <w:highlight w:val="none"/>
          <w:lang w:val="en-US" w:eastAsia="zh-CN"/>
        </w:rPr>
      </w:pPr>
      <w:r>
        <w:rPr>
          <w:rFonts w:hint="eastAsia"/>
          <w:bCs/>
          <w:color w:val="auto"/>
          <w:szCs w:val="21"/>
          <w:highlight w:val="none"/>
          <w:lang w:eastAsia="zh-CN"/>
        </w:rPr>
        <w:t>（</w:t>
      </w:r>
      <w:r>
        <w:rPr>
          <w:rFonts w:hint="eastAsia"/>
          <w:bCs/>
          <w:color w:val="auto"/>
          <w:szCs w:val="21"/>
          <w:highlight w:val="none"/>
          <w:lang w:val="en-US" w:eastAsia="zh-CN"/>
        </w:rPr>
        <w:t>四）录取：根据省发招生文件，按非艺术类考生成绩由高至低进行录取。艺术类考生在文化课上线情况下，按术科加试成绩由高至低进行录取。</w:t>
      </w:r>
    </w:p>
    <w:p>
      <w:pPr>
        <w:spacing w:line="276" w:lineRule="auto"/>
        <w:ind w:left="0" w:leftChars="0" w:firstLine="420" w:firstLineChars="200"/>
        <w:rPr>
          <w:rFonts w:hint="eastAsia"/>
          <w:bCs/>
          <w:color w:val="auto"/>
          <w:szCs w:val="21"/>
          <w:highlight w:val="none"/>
        </w:rPr>
      </w:pPr>
      <w:r>
        <w:rPr>
          <w:rFonts w:hint="eastAsia"/>
          <w:bCs/>
          <w:color w:val="auto"/>
          <w:szCs w:val="21"/>
          <w:highlight w:val="none"/>
        </w:rPr>
        <w:t>相关政策：1.年满25周岁的考生，本专科录取时均可加20分；具体其他加分政策，详见201</w:t>
      </w:r>
      <w:r>
        <w:rPr>
          <w:rFonts w:hint="eastAsia"/>
          <w:bCs/>
          <w:color w:val="auto"/>
          <w:szCs w:val="21"/>
          <w:highlight w:val="none"/>
          <w:lang w:val="en-US" w:eastAsia="zh-CN"/>
        </w:rPr>
        <w:t>8</w:t>
      </w:r>
      <w:r>
        <w:rPr>
          <w:rFonts w:hint="eastAsia"/>
          <w:bCs/>
          <w:color w:val="auto"/>
          <w:szCs w:val="21"/>
          <w:highlight w:val="none"/>
        </w:rPr>
        <w:t>年成人高考相关政策文件。2.专科艺术类考生应参加数学科目考试，数学成绩不计入总分，录取时可供参考。3.我校实行弹性学制，学习年限为2.5</w:t>
      </w:r>
      <w:r>
        <w:rPr>
          <w:rFonts w:hint="eastAsia"/>
          <w:bCs/>
          <w:color w:val="auto"/>
          <w:szCs w:val="21"/>
          <w:highlight w:val="none"/>
          <w:lang w:val="en-US" w:eastAsia="zh-CN"/>
        </w:rPr>
        <w:t>年</w:t>
      </w:r>
      <w:r>
        <w:rPr>
          <w:rFonts w:hint="eastAsia"/>
          <w:bCs/>
          <w:color w:val="auto"/>
          <w:szCs w:val="21"/>
          <w:highlight w:val="none"/>
        </w:rPr>
        <w:t>—5年。</w:t>
      </w:r>
    </w:p>
    <w:p>
      <w:pPr>
        <w:spacing w:line="276" w:lineRule="auto"/>
        <w:ind w:left="0" w:leftChars="0" w:firstLine="420" w:firstLineChars="200"/>
        <w:rPr>
          <w:rFonts w:hint="eastAsia"/>
          <w:bCs/>
          <w:color w:val="auto"/>
          <w:szCs w:val="21"/>
          <w:highlight w:val="none"/>
        </w:rPr>
      </w:pPr>
      <w:r>
        <w:rPr>
          <w:rFonts w:hint="eastAsia"/>
          <w:bCs/>
          <w:color w:val="auto"/>
          <w:szCs w:val="21"/>
          <w:highlight w:val="none"/>
          <w:lang w:val="en-US" w:eastAsia="zh-CN"/>
        </w:rPr>
        <w:t xml:space="preserve"> </w:t>
      </w:r>
      <w:r>
        <w:rPr>
          <w:rFonts w:hint="eastAsia"/>
          <w:bCs/>
          <w:color w:val="auto"/>
          <w:szCs w:val="21"/>
          <w:highlight w:val="none"/>
        </w:rPr>
        <w:t>原则上专业开班基准人数30人，不足30人不予开班。</w:t>
      </w:r>
    </w:p>
    <w:p>
      <w:pPr>
        <w:spacing w:line="276" w:lineRule="auto"/>
        <w:ind w:firstLine="482" w:firstLineChars="200"/>
        <w:rPr>
          <w:b/>
          <w:sz w:val="28"/>
          <w:szCs w:val="28"/>
        </w:rPr>
      </w:pPr>
      <w:r>
        <w:rPr>
          <w:rFonts w:hint="eastAsia" w:ascii="宋体" w:hAnsi="宋体"/>
          <w:b/>
          <w:bCs/>
          <w:sz w:val="24"/>
        </w:rPr>
        <w:t>○</w:t>
      </w:r>
      <w:r>
        <w:rPr>
          <w:rFonts w:hint="eastAsia"/>
          <w:b/>
          <w:sz w:val="28"/>
          <w:szCs w:val="28"/>
        </w:rPr>
        <w:t>浙江省2</w:t>
      </w:r>
      <w:r>
        <w:rPr>
          <w:b/>
          <w:sz w:val="28"/>
          <w:szCs w:val="28"/>
        </w:rPr>
        <w:t>01</w:t>
      </w:r>
      <w:r>
        <w:rPr>
          <w:rFonts w:hint="eastAsia"/>
          <w:b/>
          <w:sz w:val="28"/>
          <w:szCs w:val="28"/>
          <w:lang w:val="en-US" w:eastAsia="zh-CN"/>
        </w:rPr>
        <w:t>7</w:t>
      </w:r>
      <w:r>
        <w:rPr>
          <w:rFonts w:hint="eastAsia"/>
          <w:b/>
          <w:sz w:val="28"/>
          <w:szCs w:val="28"/>
        </w:rPr>
        <w:t>年成考录取最低控制分数线（仅供参考）</w:t>
      </w:r>
    </w:p>
    <w:tbl>
      <w:tblPr>
        <w:tblStyle w:val="10"/>
        <w:tblW w:w="9498" w:type="dxa"/>
        <w:tblInd w:w="-459" w:type="dxa"/>
        <w:tblLayout w:type="fixed"/>
        <w:tblCellMar>
          <w:top w:w="0" w:type="dxa"/>
          <w:left w:w="108" w:type="dxa"/>
          <w:bottom w:w="0" w:type="dxa"/>
          <w:right w:w="108" w:type="dxa"/>
        </w:tblCellMar>
      </w:tblPr>
      <w:tblGrid>
        <w:gridCol w:w="1134"/>
        <w:gridCol w:w="1134"/>
        <w:gridCol w:w="851"/>
        <w:gridCol w:w="850"/>
        <w:gridCol w:w="1134"/>
        <w:gridCol w:w="993"/>
        <w:gridCol w:w="850"/>
        <w:gridCol w:w="1134"/>
        <w:gridCol w:w="1418"/>
      </w:tblGrid>
      <w:tr>
        <w:tblPrEx>
          <w:tblLayout w:type="fixed"/>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层次</w:t>
            </w:r>
          </w:p>
        </w:tc>
        <w:tc>
          <w:tcPr>
            <w:tcW w:w="5812"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专升本</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高起专</w:t>
            </w:r>
          </w:p>
        </w:tc>
      </w:tr>
      <w:tr>
        <w:tblPrEx>
          <w:tblLayout w:type="fixed"/>
          <w:tblCellMar>
            <w:top w:w="0" w:type="dxa"/>
            <w:left w:w="108" w:type="dxa"/>
            <w:bottom w:w="0" w:type="dxa"/>
            <w:right w:w="108" w:type="dxa"/>
          </w:tblCellMar>
        </w:tblPrEx>
        <w:trPr>
          <w:trHeight w:val="561"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科类</w:t>
            </w:r>
          </w:p>
        </w:tc>
        <w:tc>
          <w:tcPr>
            <w:tcW w:w="1134"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 w:val="20"/>
                <w:szCs w:val="20"/>
              </w:rPr>
            </w:pPr>
            <w:r>
              <w:rPr>
                <w:rFonts w:hint="eastAsia" w:ascii="宋体" w:hAnsi="宋体" w:cs="宋体"/>
                <w:color w:val="000000"/>
                <w:kern w:val="0"/>
                <w:sz w:val="18"/>
                <w:szCs w:val="18"/>
              </w:rPr>
              <w:t>文史、中医</w:t>
            </w:r>
          </w:p>
        </w:tc>
        <w:tc>
          <w:tcPr>
            <w:tcW w:w="851"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艺术</w:t>
            </w:r>
          </w:p>
        </w:tc>
        <w:tc>
          <w:tcPr>
            <w:tcW w:w="85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理工</w:t>
            </w:r>
          </w:p>
        </w:tc>
        <w:tc>
          <w:tcPr>
            <w:tcW w:w="1134"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 w:val="20"/>
                <w:szCs w:val="20"/>
              </w:rPr>
            </w:pPr>
            <w:r>
              <w:rPr>
                <w:rFonts w:hint="eastAsia" w:ascii="宋体" w:hAnsi="宋体" w:cs="宋体"/>
                <w:color w:val="000000"/>
                <w:kern w:val="0"/>
                <w:sz w:val="18"/>
                <w:szCs w:val="18"/>
              </w:rPr>
              <w:t>经济、管理</w:t>
            </w:r>
          </w:p>
        </w:tc>
        <w:tc>
          <w:tcPr>
            <w:tcW w:w="993"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法学</w:t>
            </w:r>
          </w:p>
        </w:tc>
        <w:tc>
          <w:tcPr>
            <w:tcW w:w="85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18"/>
                <w:szCs w:val="18"/>
              </w:rPr>
            </w:pPr>
            <w:r>
              <w:rPr>
                <w:rFonts w:hint="eastAsia" w:ascii="宋体" w:hAnsi="宋体" w:cs="宋体"/>
                <w:color w:val="000000"/>
                <w:kern w:val="0"/>
                <w:sz w:val="18"/>
                <w:szCs w:val="18"/>
              </w:rPr>
              <w:t>教育学</w:t>
            </w:r>
          </w:p>
        </w:tc>
        <w:tc>
          <w:tcPr>
            <w:tcW w:w="113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20"/>
                <w:szCs w:val="20"/>
              </w:rPr>
            </w:pPr>
            <w:r>
              <w:rPr>
                <w:rFonts w:hint="eastAsia" w:ascii="宋体" w:hAnsi="宋体" w:cs="宋体"/>
                <w:color w:val="000000"/>
                <w:kern w:val="0"/>
                <w:sz w:val="20"/>
                <w:szCs w:val="20"/>
              </w:rPr>
              <w:t>文/理科</w:t>
            </w:r>
          </w:p>
        </w:tc>
        <w:tc>
          <w:tcPr>
            <w:tcW w:w="1418"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艺术、体育文/艺术、体育理</w:t>
            </w:r>
          </w:p>
        </w:tc>
      </w:tr>
      <w:tr>
        <w:tblPrEx>
          <w:tblLayout w:type="fixed"/>
          <w:tblCellMar>
            <w:top w:w="0" w:type="dxa"/>
            <w:left w:w="108" w:type="dxa"/>
            <w:bottom w:w="0" w:type="dxa"/>
            <w:right w:w="108" w:type="dxa"/>
          </w:tblCellMar>
        </w:tblPrEx>
        <w:trPr>
          <w:trHeight w:val="300"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最低分数</w:t>
            </w:r>
          </w:p>
        </w:tc>
        <w:tc>
          <w:tcPr>
            <w:tcW w:w="113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eastAsia="宋体"/>
                <w:color w:val="333333"/>
                <w:kern w:val="0"/>
                <w:sz w:val="22"/>
                <w:szCs w:val="22"/>
                <w:lang w:val="en-US" w:eastAsia="zh-CN"/>
              </w:rPr>
            </w:pPr>
            <w:r>
              <w:rPr>
                <w:rFonts w:hint="eastAsia"/>
                <w:color w:val="333333"/>
                <w:kern w:val="0"/>
                <w:sz w:val="22"/>
                <w:szCs w:val="22"/>
              </w:rPr>
              <w:t>1</w:t>
            </w:r>
            <w:r>
              <w:rPr>
                <w:rFonts w:hint="eastAsia"/>
                <w:color w:val="333333"/>
                <w:kern w:val="0"/>
                <w:sz w:val="22"/>
                <w:szCs w:val="22"/>
                <w:lang w:val="en-US" w:eastAsia="zh-CN"/>
              </w:rPr>
              <w:t>78</w:t>
            </w:r>
          </w:p>
        </w:tc>
        <w:tc>
          <w:tcPr>
            <w:tcW w:w="851"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color w:val="333333"/>
                <w:kern w:val="0"/>
                <w:sz w:val="22"/>
                <w:szCs w:val="22"/>
              </w:rPr>
            </w:pPr>
            <w:r>
              <w:rPr>
                <w:rFonts w:hint="eastAsia"/>
                <w:color w:val="333333"/>
                <w:kern w:val="0"/>
                <w:sz w:val="22"/>
                <w:szCs w:val="22"/>
              </w:rPr>
              <w:t>1</w:t>
            </w:r>
            <w:r>
              <w:rPr>
                <w:color w:val="333333"/>
                <w:kern w:val="0"/>
                <w:sz w:val="22"/>
                <w:szCs w:val="22"/>
              </w:rPr>
              <w:t>2</w:t>
            </w:r>
            <w:r>
              <w:rPr>
                <w:rFonts w:hint="eastAsia"/>
                <w:color w:val="333333"/>
                <w:kern w:val="0"/>
                <w:sz w:val="22"/>
                <w:szCs w:val="22"/>
              </w:rPr>
              <w:t>0</w:t>
            </w:r>
          </w:p>
        </w:tc>
        <w:tc>
          <w:tcPr>
            <w:tcW w:w="85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color w:val="333333"/>
                <w:kern w:val="0"/>
                <w:sz w:val="22"/>
                <w:szCs w:val="22"/>
              </w:rPr>
            </w:pPr>
            <w:r>
              <w:rPr>
                <w:rFonts w:hint="eastAsia"/>
                <w:color w:val="333333"/>
                <w:kern w:val="0"/>
                <w:sz w:val="22"/>
                <w:szCs w:val="22"/>
              </w:rPr>
              <w:t>120</w:t>
            </w:r>
          </w:p>
        </w:tc>
        <w:tc>
          <w:tcPr>
            <w:tcW w:w="113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color w:val="333333"/>
                <w:kern w:val="0"/>
                <w:sz w:val="22"/>
                <w:szCs w:val="22"/>
              </w:rPr>
            </w:pPr>
            <w:r>
              <w:rPr>
                <w:rFonts w:hint="eastAsia"/>
                <w:color w:val="333333"/>
                <w:kern w:val="0"/>
                <w:sz w:val="22"/>
                <w:szCs w:val="22"/>
              </w:rPr>
              <w:t>120</w:t>
            </w:r>
          </w:p>
        </w:tc>
        <w:tc>
          <w:tcPr>
            <w:tcW w:w="993"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eastAsia="宋体"/>
                <w:color w:val="333333"/>
                <w:kern w:val="0"/>
                <w:sz w:val="22"/>
                <w:szCs w:val="22"/>
                <w:lang w:eastAsia="zh-CN"/>
              </w:rPr>
            </w:pPr>
            <w:r>
              <w:rPr>
                <w:rFonts w:hint="eastAsia"/>
                <w:color w:val="333333"/>
                <w:kern w:val="0"/>
                <w:sz w:val="22"/>
                <w:szCs w:val="22"/>
              </w:rPr>
              <w:t>13</w:t>
            </w:r>
            <w:r>
              <w:rPr>
                <w:rFonts w:hint="eastAsia"/>
                <w:color w:val="333333"/>
                <w:kern w:val="0"/>
                <w:sz w:val="22"/>
                <w:szCs w:val="22"/>
                <w:lang w:val="en-US" w:eastAsia="zh-CN"/>
              </w:rPr>
              <w:t>3</w:t>
            </w:r>
          </w:p>
        </w:tc>
        <w:tc>
          <w:tcPr>
            <w:tcW w:w="85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eastAsia="宋体"/>
                <w:color w:val="333333"/>
                <w:kern w:val="0"/>
                <w:sz w:val="22"/>
                <w:szCs w:val="22"/>
                <w:lang w:val="en-US" w:eastAsia="zh-CN"/>
              </w:rPr>
            </w:pPr>
            <w:r>
              <w:rPr>
                <w:rFonts w:hint="eastAsia"/>
                <w:color w:val="333333"/>
                <w:kern w:val="0"/>
                <w:sz w:val="22"/>
                <w:szCs w:val="22"/>
              </w:rPr>
              <w:t>1</w:t>
            </w:r>
            <w:r>
              <w:rPr>
                <w:rFonts w:hint="eastAsia"/>
                <w:color w:val="333333"/>
                <w:kern w:val="0"/>
                <w:sz w:val="22"/>
                <w:szCs w:val="22"/>
                <w:lang w:val="en-US" w:eastAsia="zh-CN"/>
              </w:rPr>
              <w:t>36</w:t>
            </w:r>
          </w:p>
        </w:tc>
        <w:tc>
          <w:tcPr>
            <w:tcW w:w="113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w:t>
            </w:r>
            <w:r>
              <w:rPr>
                <w:rFonts w:ascii="宋体" w:hAnsi="宋体" w:cs="宋体"/>
                <w:color w:val="000000"/>
                <w:kern w:val="0"/>
                <w:sz w:val="20"/>
                <w:szCs w:val="20"/>
              </w:rPr>
              <w:t>1</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/11</w:t>
            </w:r>
            <w:r>
              <w:rPr>
                <w:rFonts w:hint="eastAsia" w:ascii="宋体" w:hAnsi="宋体" w:cs="宋体"/>
                <w:color w:val="000000"/>
                <w:kern w:val="0"/>
                <w:sz w:val="20"/>
                <w:szCs w:val="20"/>
                <w:lang w:val="en-US" w:eastAsia="zh-CN"/>
              </w:rPr>
              <w:t>6</w:t>
            </w:r>
          </w:p>
        </w:tc>
        <w:tc>
          <w:tcPr>
            <w:tcW w:w="141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81</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82</w:t>
            </w:r>
          </w:p>
        </w:tc>
      </w:tr>
    </w:tbl>
    <w:p>
      <w:pPr>
        <w:spacing w:line="276" w:lineRule="auto"/>
        <w:ind w:firstLine="420" w:firstLineChars="200"/>
        <w:rPr>
          <w:rFonts w:hint="eastAsia"/>
          <w:bCs/>
          <w:szCs w:val="21"/>
          <w:lang w:val="en-US" w:eastAsia="zh-CN"/>
        </w:rPr>
      </w:pPr>
    </w:p>
    <w:p>
      <w:pPr>
        <w:spacing w:line="276" w:lineRule="auto"/>
        <w:ind w:firstLine="420" w:firstLineChars="200"/>
        <w:rPr>
          <w:rFonts w:hint="eastAsia"/>
          <w:bCs/>
          <w:szCs w:val="21"/>
          <w:lang w:val="en-US" w:eastAsia="zh-CN"/>
        </w:rPr>
      </w:pPr>
    </w:p>
    <w:p>
      <w:pPr>
        <w:spacing w:line="276" w:lineRule="auto"/>
        <w:ind w:firstLine="482" w:firstLineChars="200"/>
        <w:jc w:val="center"/>
        <w:rPr>
          <w:rFonts w:hint="eastAsia" w:eastAsia="宋体"/>
          <w:b/>
          <w:color w:val="auto"/>
          <w:sz w:val="24"/>
          <w:lang w:eastAsia="zh-CN"/>
        </w:rPr>
      </w:pPr>
      <w:r>
        <w:rPr>
          <w:rFonts w:hint="eastAsia"/>
          <w:b/>
          <w:color w:val="auto"/>
          <w:sz w:val="24"/>
          <w:highlight w:val="lightGray"/>
          <w:lang w:val="en-US" w:eastAsia="zh-CN"/>
        </w:rPr>
        <w:t>四  学习过程应知</w:t>
      </w:r>
    </w:p>
    <w:p>
      <w:pPr>
        <w:spacing w:line="276" w:lineRule="auto"/>
        <w:ind w:firstLine="482" w:firstLineChars="200"/>
        <w:rPr>
          <w:rFonts w:ascii="宋体" w:hAnsi="宋体" w:cs="宋体"/>
          <w:b/>
          <w:sz w:val="24"/>
        </w:rPr>
      </w:pPr>
      <w:r>
        <w:rPr>
          <w:rFonts w:hint="eastAsia" w:ascii="宋体" w:hAnsi="宋体"/>
          <w:b/>
          <w:sz w:val="24"/>
          <w:lang w:val="en-US" w:eastAsia="zh-CN"/>
        </w:rPr>
        <w:t>(一）</w:t>
      </w:r>
      <w:r>
        <w:rPr>
          <w:rFonts w:hint="eastAsia" w:ascii="宋体" w:hAnsi="宋体" w:cs="宋体"/>
          <w:b/>
          <w:sz w:val="24"/>
        </w:rPr>
        <w:t>学习时间</w:t>
      </w:r>
    </w:p>
    <w:p>
      <w:pPr>
        <w:spacing w:line="276" w:lineRule="auto"/>
        <w:ind w:firstLine="422" w:firstLineChars="200"/>
        <w:rPr>
          <w:rFonts w:ascii="宋体" w:hAnsi="宋体" w:cs="宋体"/>
          <w:szCs w:val="21"/>
        </w:rPr>
      </w:pPr>
      <w:r>
        <w:rPr>
          <w:rFonts w:hint="eastAsia" w:ascii="宋体" w:hAnsi="宋体" w:cs="宋体"/>
          <w:b/>
          <w:szCs w:val="21"/>
        </w:rPr>
        <w:t>非假期班</w:t>
      </w:r>
      <w:r>
        <w:rPr>
          <w:rFonts w:hint="eastAsia" w:ascii="宋体" w:hAnsi="宋体" w:cs="宋体"/>
          <w:szCs w:val="21"/>
        </w:rPr>
        <w:t>（函授和业余）学</w:t>
      </w:r>
      <w:r>
        <w:rPr>
          <w:rFonts w:hint="eastAsia"/>
          <w:bCs/>
          <w:szCs w:val="21"/>
        </w:rPr>
        <w:t>习时间为周六周日全天以及周一至周五晚6:50至晚9点（具体看课表安排）。</w:t>
      </w:r>
      <w:r>
        <w:rPr>
          <w:rFonts w:hint="eastAsia" w:ascii="宋体" w:hAnsi="宋体" w:cs="宋体"/>
          <w:szCs w:val="21"/>
        </w:rPr>
        <w:t>一般</w:t>
      </w:r>
      <w:r>
        <w:rPr>
          <w:rFonts w:hint="eastAsia"/>
          <w:bCs/>
          <w:szCs w:val="21"/>
        </w:rPr>
        <w:t>每学期为三个半月左右。</w:t>
      </w:r>
      <w:r>
        <w:rPr>
          <w:rFonts w:hint="eastAsia" w:ascii="宋体" w:hAnsi="宋体" w:cs="宋体"/>
          <w:b/>
          <w:szCs w:val="21"/>
        </w:rPr>
        <w:t>假期班</w:t>
      </w:r>
      <w:r>
        <w:rPr>
          <w:rFonts w:hint="eastAsia"/>
          <w:bCs/>
          <w:szCs w:val="21"/>
        </w:rPr>
        <w:t>（师范类函授班）学习时间为每年1月、7月寒暑假。一般说来平均每个专业课程数为15至18门，每门课程课时数约为28课时至35课时不等。</w:t>
      </w:r>
    </w:p>
    <w:p>
      <w:pPr>
        <w:spacing w:line="276" w:lineRule="auto"/>
        <w:ind w:firstLine="482" w:firstLineChars="200"/>
        <w:rPr>
          <w:rFonts w:ascii="宋体" w:hAnsi="宋体" w:cs="宋体"/>
          <w:b/>
          <w:sz w:val="24"/>
        </w:rPr>
      </w:pPr>
      <w:r>
        <w:rPr>
          <w:rFonts w:hint="eastAsia" w:ascii="宋体" w:hAnsi="宋体"/>
          <w:b/>
          <w:sz w:val="24"/>
          <w:lang w:eastAsia="zh-CN"/>
        </w:rPr>
        <w:t>（</w:t>
      </w:r>
      <w:r>
        <w:rPr>
          <w:rFonts w:hint="eastAsia" w:ascii="宋体" w:hAnsi="宋体"/>
          <w:b/>
          <w:sz w:val="24"/>
          <w:lang w:val="en-US" w:eastAsia="zh-CN"/>
        </w:rPr>
        <w:t>二）</w:t>
      </w:r>
      <w:r>
        <w:rPr>
          <w:rFonts w:hint="eastAsia" w:ascii="宋体" w:hAnsi="宋体" w:cs="宋体"/>
          <w:b/>
          <w:sz w:val="24"/>
        </w:rPr>
        <w:t>证书获得</w:t>
      </w:r>
    </w:p>
    <w:p>
      <w:pPr>
        <w:spacing w:line="276" w:lineRule="auto"/>
        <w:ind w:firstLine="422" w:firstLineChars="200"/>
        <w:rPr>
          <w:sz w:val="24"/>
        </w:rPr>
      </w:pPr>
      <w:r>
        <w:rPr>
          <w:rFonts w:hint="eastAsia"/>
          <w:b/>
          <w:bCs/>
          <w:szCs w:val="21"/>
        </w:rPr>
        <w:t>通过成考并被我院正式录取后，</w:t>
      </w:r>
      <w:r>
        <w:rPr>
          <w:rFonts w:hint="eastAsia"/>
          <w:bCs/>
          <w:szCs w:val="21"/>
        </w:rPr>
        <w:t>进入我院学习。学习期间，所有课程达到我院毕业生要求，</w:t>
      </w:r>
      <w:r>
        <w:rPr>
          <w:rFonts w:hint="eastAsia"/>
          <w:bCs/>
          <w:szCs w:val="21"/>
          <w:lang w:val="en-US" w:eastAsia="zh-CN"/>
        </w:rPr>
        <w:t>最短</w:t>
      </w:r>
      <w:r>
        <w:rPr>
          <w:rFonts w:hint="eastAsia"/>
          <w:bCs/>
          <w:szCs w:val="21"/>
        </w:rPr>
        <w:t>学制2.5年期满后</w:t>
      </w:r>
      <w:r>
        <w:rPr>
          <w:rFonts w:hint="eastAsia"/>
          <w:bCs/>
          <w:szCs w:val="21"/>
          <w:lang w:eastAsia="zh-CN"/>
        </w:rPr>
        <w:t>（</w:t>
      </w:r>
      <w:r>
        <w:rPr>
          <w:rFonts w:hint="eastAsia"/>
          <w:bCs/>
          <w:szCs w:val="21"/>
          <w:lang w:val="en-US" w:eastAsia="zh-CN"/>
        </w:rPr>
        <w:t>实行弹性学制2.5年--5年）</w:t>
      </w:r>
      <w:r>
        <w:rPr>
          <w:rFonts w:hint="eastAsia"/>
          <w:bCs/>
          <w:szCs w:val="21"/>
        </w:rPr>
        <w:t>，可获得学历证书。专升本学员毕业后可申请学士学位</w:t>
      </w:r>
      <w:r>
        <w:rPr>
          <w:rFonts w:hint="eastAsia" w:ascii="宋体" w:hAnsi="宋体" w:cs="宋体"/>
          <w:szCs w:val="21"/>
        </w:rPr>
        <w:t>。</w:t>
      </w:r>
      <w:bookmarkStart w:id="0" w:name="_GoBack"/>
      <w:bookmarkEnd w:id="0"/>
    </w:p>
    <w:sectPr>
      <w:headerReference r:id="rId3" w:type="default"/>
      <w:pgSz w:w="11907" w:h="16840"/>
      <w:pgMar w:top="1440" w:right="1797" w:bottom="1440" w:left="1797" w:header="851" w:footer="992" w:gutter="0"/>
      <w:pgNumType w:fmt="numberInDash"/>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D6"/>
    <w:rsid w:val="00010D9C"/>
    <w:rsid w:val="00022C41"/>
    <w:rsid w:val="00033B68"/>
    <w:rsid w:val="0004642B"/>
    <w:rsid w:val="0006688C"/>
    <w:rsid w:val="000763C7"/>
    <w:rsid w:val="000D324B"/>
    <w:rsid w:val="000E5A81"/>
    <w:rsid w:val="000F25E4"/>
    <w:rsid w:val="000F41A7"/>
    <w:rsid w:val="0010606D"/>
    <w:rsid w:val="00114532"/>
    <w:rsid w:val="00157015"/>
    <w:rsid w:val="001877E6"/>
    <w:rsid w:val="001C0750"/>
    <w:rsid w:val="001D6CFD"/>
    <w:rsid w:val="00271D0E"/>
    <w:rsid w:val="0029774A"/>
    <w:rsid w:val="002C5718"/>
    <w:rsid w:val="002D0457"/>
    <w:rsid w:val="002D20C3"/>
    <w:rsid w:val="002F39B2"/>
    <w:rsid w:val="0030467C"/>
    <w:rsid w:val="00353BC5"/>
    <w:rsid w:val="00354C4A"/>
    <w:rsid w:val="00373C1F"/>
    <w:rsid w:val="00392A23"/>
    <w:rsid w:val="003E6C86"/>
    <w:rsid w:val="00414C12"/>
    <w:rsid w:val="00432DB9"/>
    <w:rsid w:val="00492E0D"/>
    <w:rsid w:val="004A13C6"/>
    <w:rsid w:val="004B29BB"/>
    <w:rsid w:val="004C42E9"/>
    <w:rsid w:val="004F12F2"/>
    <w:rsid w:val="004F31E3"/>
    <w:rsid w:val="005021CA"/>
    <w:rsid w:val="0051725C"/>
    <w:rsid w:val="0051756D"/>
    <w:rsid w:val="0052038C"/>
    <w:rsid w:val="005258B2"/>
    <w:rsid w:val="00546AE5"/>
    <w:rsid w:val="00574CD7"/>
    <w:rsid w:val="00640625"/>
    <w:rsid w:val="0067367D"/>
    <w:rsid w:val="00692AAB"/>
    <w:rsid w:val="006C3092"/>
    <w:rsid w:val="006F39C0"/>
    <w:rsid w:val="00701170"/>
    <w:rsid w:val="00712BF6"/>
    <w:rsid w:val="007267D6"/>
    <w:rsid w:val="00793461"/>
    <w:rsid w:val="007F54C7"/>
    <w:rsid w:val="00846FF7"/>
    <w:rsid w:val="00853127"/>
    <w:rsid w:val="00863D88"/>
    <w:rsid w:val="00876091"/>
    <w:rsid w:val="008C3B17"/>
    <w:rsid w:val="008E67F5"/>
    <w:rsid w:val="009A0CA1"/>
    <w:rsid w:val="009B3725"/>
    <w:rsid w:val="00A7149C"/>
    <w:rsid w:val="00A86748"/>
    <w:rsid w:val="00A92F51"/>
    <w:rsid w:val="00A94BCD"/>
    <w:rsid w:val="00A97F72"/>
    <w:rsid w:val="00B009E5"/>
    <w:rsid w:val="00B10C90"/>
    <w:rsid w:val="00B34225"/>
    <w:rsid w:val="00B64900"/>
    <w:rsid w:val="00B86A18"/>
    <w:rsid w:val="00BA2156"/>
    <w:rsid w:val="00BA4283"/>
    <w:rsid w:val="00C32FD6"/>
    <w:rsid w:val="00C439F5"/>
    <w:rsid w:val="00CA18A9"/>
    <w:rsid w:val="00CF1D23"/>
    <w:rsid w:val="00D04590"/>
    <w:rsid w:val="00D13292"/>
    <w:rsid w:val="00D27E16"/>
    <w:rsid w:val="00D4200D"/>
    <w:rsid w:val="00D529AA"/>
    <w:rsid w:val="00D57AE0"/>
    <w:rsid w:val="00D7058E"/>
    <w:rsid w:val="00D71A4D"/>
    <w:rsid w:val="00D86208"/>
    <w:rsid w:val="00D91BC4"/>
    <w:rsid w:val="00DB5E81"/>
    <w:rsid w:val="00DC5F4F"/>
    <w:rsid w:val="00DF1DE9"/>
    <w:rsid w:val="00DF338E"/>
    <w:rsid w:val="00EB5BCF"/>
    <w:rsid w:val="00ED45E4"/>
    <w:rsid w:val="00EF3580"/>
    <w:rsid w:val="00F00614"/>
    <w:rsid w:val="00F23582"/>
    <w:rsid w:val="00F4138C"/>
    <w:rsid w:val="00F651D3"/>
    <w:rsid w:val="00F926C0"/>
    <w:rsid w:val="00FF6BB0"/>
    <w:rsid w:val="00FF70AD"/>
    <w:rsid w:val="050A666C"/>
    <w:rsid w:val="1DEA62A1"/>
    <w:rsid w:val="26577104"/>
    <w:rsid w:val="280855C9"/>
    <w:rsid w:val="28C43D01"/>
    <w:rsid w:val="34E36D81"/>
    <w:rsid w:val="3500498B"/>
    <w:rsid w:val="35D83877"/>
    <w:rsid w:val="3C1E30FB"/>
    <w:rsid w:val="469C65EB"/>
    <w:rsid w:val="47D05E4A"/>
    <w:rsid w:val="4BFE7A6C"/>
    <w:rsid w:val="51177750"/>
    <w:rsid w:val="5AF3714E"/>
    <w:rsid w:val="63DD1BC3"/>
    <w:rsid w:val="735A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12"/>
    <w:qFormat/>
    <w:uiPriority w:val="9"/>
    <w:pPr>
      <w:keepNext/>
      <w:keepLines/>
      <w:spacing w:before="280" w:after="290" w:line="376" w:lineRule="auto"/>
      <w:outlineLvl w:val="3"/>
    </w:pPr>
    <w:rPr>
      <w:rFonts w:ascii="Calibri Light" w:hAnsi="Calibri Light"/>
      <w:b/>
      <w:bCs/>
      <w:sz w:val="28"/>
      <w:szCs w:val="2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0"/>
    </w:rPr>
  </w:style>
  <w:style w:type="character" w:styleId="9">
    <w:name w:val="Hyperlink"/>
    <w:qFormat/>
    <w:uiPriority w:val="0"/>
    <w:rPr>
      <w:color w:val="136EC2"/>
      <w:u w:val="single"/>
    </w:rPr>
  </w:style>
  <w:style w:type="character" w:customStyle="1" w:styleId="11">
    <w:name w:val="标题 1 字符"/>
    <w:basedOn w:val="8"/>
    <w:link w:val="2"/>
    <w:qFormat/>
    <w:uiPriority w:val="0"/>
    <w:rPr>
      <w:rFonts w:ascii="Times New Roman" w:hAnsi="Times New Roman" w:eastAsia="宋体" w:cs="Times New Roman"/>
      <w:b/>
      <w:bCs/>
      <w:kern w:val="44"/>
      <w:sz w:val="44"/>
      <w:szCs w:val="44"/>
    </w:rPr>
  </w:style>
  <w:style w:type="character" w:customStyle="1" w:styleId="12">
    <w:name w:val="标题 4 字符"/>
    <w:basedOn w:val="8"/>
    <w:link w:val="3"/>
    <w:qFormat/>
    <w:uiPriority w:val="9"/>
    <w:rPr>
      <w:rFonts w:ascii="Calibri Light" w:hAnsi="Calibri Light" w:eastAsia="宋体" w:cs="Times New Roman"/>
      <w:b/>
      <w:bCs/>
      <w:sz w:val="28"/>
      <w:szCs w:val="28"/>
    </w:rPr>
  </w:style>
  <w:style w:type="character" w:customStyle="1" w:styleId="13">
    <w:name w:val="页眉 字符"/>
    <w:basedOn w:val="8"/>
    <w:link w:val="6"/>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rFonts w:ascii="Calibri" w:hAnsi="Calibri"/>
      <w:szCs w:val="22"/>
    </w:rPr>
  </w:style>
  <w:style w:type="paragraph" w:customStyle="1" w:styleId="15">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6">
    <w:name w:val="页脚 字符"/>
    <w:basedOn w:val="8"/>
    <w:link w:val="5"/>
    <w:qFormat/>
    <w:uiPriority w:val="99"/>
    <w:rPr>
      <w:rFonts w:ascii="Times New Roman" w:hAnsi="Times New Roman" w:eastAsia="宋体" w:cs="Times New Roman"/>
      <w:sz w:val="18"/>
      <w:szCs w:val="18"/>
    </w:rPr>
  </w:style>
  <w:style w:type="character" w:customStyle="1" w:styleId="17">
    <w:name w:val="批注框文本 字符"/>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B0A726-8837-4BD6-A2B1-FADA88E79EA1}">
  <ds:schemaRefs/>
</ds:datastoreItem>
</file>

<file path=docProps/app.xml><?xml version="1.0" encoding="utf-8"?>
<Properties xmlns="http://schemas.openxmlformats.org/officeDocument/2006/extended-properties" xmlns:vt="http://schemas.openxmlformats.org/officeDocument/2006/docPropsVTypes">
  <Template>Normal.dotm</Template>
  <Company>wzdx</Company>
  <Pages>2</Pages>
  <Words>266</Words>
  <Characters>1520</Characters>
  <Lines>12</Lines>
  <Paragraphs>3</Paragraphs>
  <TotalTime>1</TotalTime>
  <ScaleCrop>false</ScaleCrop>
  <LinksUpToDate>false</LinksUpToDate>
  <CharactersWithSpaces>1783</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2017-06-13T02:19:00Z</dcterms:created>
  <dc:creator>lb</dc:creator>
  <cp:lastModifiedBy>必须淡定！</cp:lastModifiedBy>
  <cp:lastPrinted>2018-08-01T04:25:33Z</cp:lastPrinted>
  <dcterms:modified xsi:type="dcterms:W3CDTF">2018-08-01T04:29:30Z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